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99" w:rsidRPr="00412DB3" w:rsidRDefault="00FB1999" w:rsidP="00412DB3">
      <w:pPr>
        <w:spacing w:after="0" w:line="204" w:lineRule="atLeast"/>
        <w:rPr>
          <w:rFonts w:ascii="Tahoma" w:eastAsia="Times New Roman" w:hAnsi="Tahoma" w:cs="Tahoma"/>
          <w:sz w:val="24"/>
          <w:szCs w:val="24"/>
          <w:lang w:eastAsia="en-ZA"/>
        </w:rPr>
      </w:pPr>
      <w:r w:rsidRPr="00412DB3">
        <w:rPr>
          <w:rFonts w:ascii="Tahoma" w:eastAsia="Times New Roman" w:hAnsi="Tahoma" w:cs="Tahoma"/>
          <w:b/>
          <w:bCs/>
          <w:color w:val="FFFFFF"/>
          <w:sz w:val="19"/>
          <w:szCs w:val="19"/>
          <w:lang w:eastAsia="en-ZA"/>
        </w:rPr>
        <w:t>Appendix IV</w:t>
      </w:r>
      <w:proofErr w:type="gramStart"/>
      <w:r w:rsidRPr="00412DB3">
        <w:rPr>
          <w:rFonts w:ascii="Tahoma" w:eastAsia="Times New Roman" w:hAnsi="Tahoma" w:cs="Tahoma"/>
          <w:b/>
          <w:bCs/>
          <w:color w:val="FFFFFF"/>
          <w:sz w:val="19"/>
          <w:szCs w:val="19"/>
          <w:lang w:eastAsia="en-ZA"/>
        </w:rPr>
        <w:t>:C</w:t>
      </w:r>
      <w:proofErr w:type="gramEnd"/>
      <w:r w:rsidRPr="00412DB3">
        <w:rPr>
          <w:rFonts w:ascii="Tahoma" w:eastAsia="Times New Roman" w:hAnsi="Tahoma" w:cs="Tahoma"/>
          <w:b/>
          <w:bCs/>
          <w:color w:val="FFFFFF"/>
          <w:sz w:val="19"/>
          <w:szCs w:val="19"/>
          <w:lang w:eastAsia="en-ZA"/>
        </w:rPr>
        <w:t>. Methods for Estimating HPD Attenuation</w:t>
      </w:r>
      <w:bookmarkStart w:id="0" w:name="_GoBack"/>
      <w:bookmarkEnd w:id="0"/>
    </w:p>
    <w:p w:rsidR="00FB1999" w:rsidRPr="00412DB3" w:rsidRDefault="00FB1999" w:rsidP="00412DB3">
      <w:pPr>
        <w:spacing w:after="0" w:line="240" w:lineRule="auto"/>
        <w:rPr>
          <w:rFonts w:ascii="Tahoma" w:eastAsia="Times New Roman" w:hAnsi="Tahoma" w:cs="Tahoma"/>
          <w:sz w:val="24"/>
          <w:szCs w:val="24"/>
          <w:lang w:eastAsia="en-ZA"/>
        </w:rPr>
      </w:pPr>
      <w:r w:rsidRPr="00412DB3">
        <w:rPr>
          <w:rFonts w:ascii="Tahoma" w:eastAsia="Times New Roman" w:hAnsi="Tahoma" w:cs="Tahoma"/>
          <w:color w:val="000000"/>
          <w:sz w:val="19"/>
          <w:szCs w:val="19"/>
          <w:lang w:eastAsia="en-ZA"/>
        </w:rPr>
        <w:t>The actual effectiveness of any individual hearing protector cannot be determined under workplace conditions. However, OSHA's noise standards (</w:t>
      </w:r>
      <w:hyperlink r:id="rId6" w:anchor="1910.95%28j%29%282%29" w:tooltip="29 CFR 1910.95(j)(2)" w:history="1">
        <w:r w:rsidRPr="00412DB3">
          <w:rPr>
            <w:rFonts w:ascii="Tahoma" w:eastAsia="Times New Roman" w:hAnsi="Tahoma" w:cs="Tahoma"/>
            <w:color w:val="0000FF"/>
            <w:sz w:val="19"/>
            <w:szCs w:val="19"/>
            <w:u w:val="single"/>
            <w:lang w:eastAsia="en-ZA"/>
          </w:rPr>
          <w:t>29 CFR 1910.95(j)(2)</w:t>
        </w:r>
      </w:hyperlink>
      <w:r w:rsidRPr="00412DB3">
        <w:rPr>
          <w:rFonts w:ascii="Tahoma" w:eastAsia="Times New Roman" w:hAnsi="Tahoma" w:cs="Tahoma"/>
          <w:color w:val="000000"/>
          <w:sz w:val="19"/>
          <w:szCs w:val="19"/>
          <w:lang w:eastAsia="en-ZA"/>
        </w:rPr>
        <w:t xml:space="preserve"> and </w:t>
      </w:r>
      <w:hyperlink r:id="rId7" w:anchor="1926.52%28b%29" w:tooltip="29 CFR 1926.52(b)" w:history="1">
        <w:r w:rsidRPr="00412DB3">
          <w:rPr>
            <w:rFonts w:ascii="Tahoma" w:eastAsia="Times New Roman" w:hAnsi="Tahoma" w:cs="Tahoma"/>
            <w:color w:val="0000FF"/>
            <w:sz w:val="19"/>
            <w:szCs w:val="19"/>
            <w:u w:val="single"/>
            <w:lang w:eastAsia="en-ZA"/>
          </w:rPr>
          <w:t>29 CFR 1926.52(b)</w:t>
        </w:r>
      </w:hyperlink>
      <w:r w:rsidRPr="00412DB3">
        <w:rPr>
          <w:rFonts w:ascii="Tahoma" w:eastAsia="Times New Roman" w:hAnsi="Tahoma" w:cs="Tahoma"/>
          <w:color w:val="000000"/>
          <w:sz w:val="19"/>
          <w:szCs w:val="19"/>
          <w:lang w:eastAsia="en-ZA"/>
        </w:rPr>
        <w:t xml:space="preserve">) require that personal hearing protection be worn to attenuate the occupational noise exposure of employees to within the limits shown in Tables </w:t>
      </w:r>
      <w:hyperlink r:id="rId8" w:anchor="1910.95%28b%29%282%29" w:tooltip="G-16" w:history="1">
        <w:r w:rsidRPr="00412DB3">
          <w:rPr>
            <w:rFonts w:ascii="Tahoma" w:eastAsia="Times New Roman" w:hAnsi="Tahoma" w:cs="Tahoma"/>
            <w:color w:val="0000FF"/>
            <w:sz w:val="19"/>
            <w:szCs w:val="19"/>
            <w:u w:val="single"/>
            <w:lang w:eastAsia="en-ZA"/>
          </w:rPr>
          <w:t>G-16</w:t>
        </w:r>
      </w:hyperlink>
      <w:r w:rsidRPr="00412DB3">
        <w:rPr>
          <w:rFonts w:ascii="Tahoma" w:eastAsia="Times New Roman" w:hAnsi="Tahoma" w:cs="Tahoma"/>
          <w:color w:val="000000"/>
          <w:sz w:val="19"/>
          <w:szCs w:val="19"/>
          <w:lang w:eastAsia="en-ZA"/>
        </w:rPr>
        <w:t xml:space="preserve">, </w:t>
      </w:r>
      <w:hyperlink r:id="rId9" w:tooltip="G-16a" w:history="1">
        <w:r w:rsidRPr="00412DB3">
          <w:rPr>
            <w:rFonts w:ascii="Tahoma" w:eastAsia="Times New Roman" w:hAnsi="Tahoma" w:cs="Tahoma"/>
            <w:color w:val="0000FF"/>
            <w:sz w:val="19"/>
            <w:szCs w:val="19"/>
            <w:u w:val="single"/>
            <w:lang w:eastAsia="en-ZA"/>
          </w:rPr>
          <w:t>G-16a</w:t>
        </w:r>
      </w:hyperlink>
      <w:r w:rsidRPr="00412DB3">
        <w:rPr>
          <w:rFonts w:ascii="Tahoma" w:eastAsia="Times New Roman" w:hAnsi="Tahoma" w:cs="Tahoma"/>
          <w:color w:val="000000"/>
          <w:sz w:val="19"/>
          <w:szCs w:val="19"/>
          <w:lang w:eastAsia="en-ZA"/>
        </w:rPr>
        <w:t xml:space="preserve">, and </w:t>
      </w:r>
      <w:hyperlink r:id="rId10" w:anchor="1926.52%28d%29%281%29" w:tooltip="D-2" w:history="1">
        <w:r w:rsidRPr="00412DB3">
          <w:rPr>
            <w:rFonts w:ascii="Tahoma" w:eastAsia="Times New Roman" w:hAnsi="Tahoma" w:cs="Tahoma"/>
            <w:color w:val="0000FF"/>
            <w:sz w:val="19"/>
            <w:szCs w:val="19"/>
            <w:u w:val="single"/>
            <w:lang w:eastAsia="en-ZA"/>
          </w:rPr>
          <w:t>D-2</w:t>
        </w:r>
      </w:hyperlink>
      <w:r w:rsidRPr="00412DB3">
        <w:rPr>
          <w:rFonts w:ascii="Tahoma" w:eastAsia="Times New Roman" w:hAnsi="Tahoma" w:cs="Tahoma"/>
          <w:color w:val="000000"/>
          <w:sz w:val="19"/>
          <w:szCs w:val="19"/>
          <w:lang w:eastAsia="en-ZA"/>
        </w:rPr>
        <w:t>, respectively. Hearing protectors are evaluated under laboratory conditions specified by the American National Standards Institute in ANSI S3.19-1974 (OSHA's experience and the published scientific literature indicate that laboratory-obtained real ear attenuation for hearing protectors can seldom be achieved in the workplace).</w:t>
      </w:r>
      <w:r w:rsidRPr="00412DB3">
        <w:rPr>
          <w:rFonts w:ascii="Tahoma" w:eastAsia="Times New Roman" w:hAnsi="Tahoma" w:cs="Tahoma"/>
          <w:sz w:val="24"/>
          <w:szCs w:val="24"/>
          <w:lang w:eastAsia="en-ZA"/>
        </w:rPr>
        <w:t xml:space="preserve"> </w:t>
      </w:r>
    </w:p>
    <w:p w:rsidR="00FB1999" w:rsidRPr="00412DB3" w:rsidRDefault="00FB1999" w:rsidP="00412DB3">
      <w:pPr>
        <w:numPr>
          <w:ilvl w:val="0"/>
          <w:numId w:val="1"/>
        </w:numPr>
        <w:spacing w:before="100" w:beforeAutospacing="1" w:after="100" w:afterAutospacing="1" w:line="240" w:lineRule="auto"/>
        <w:rPr>
          <w:rFonts w:ascii="Tahoma" w:eastAsia="Times New Roman" w:hAnsi="Tahoma" w:cs="Tahoma"/>
          <w:color w:val="000000"/>
          <w:sz w:val="19"/>
          <w:szCs w:val="19"/>
          <w:lang w:eastAsia="en-ZA"/>
        </w:rPr>
      </w:pPr>
      <w:hyperlink r:id="rId11" w:tooltip="Appendix B: Methods For Estimating the Adequacy of Hearing Protector Attenuation" w:history="1">
        <w:r w:rsidRPr="00412DB3">
          <w:rPr>
            <w:rFonts w:ascii="Tahoma" w:eastAsia="Times New Roman" w:hAnsi="Tahoma" w:cs="Tahoma"/>
            <w:color w:val="0000FF"/>
            <w:sz w:val="19"/>
            <w:szCs w:val="19"/>
            <w:u w:val="single"/>
            <w:lang w:eastAsia="en-ZA"/>
          </w:rPr>
          <w:t>Appendix B: Methods For Estimating the Adequacy of Hearing Protector Attenuation</w:t>
        </w:r>
      </w:hyperlink>
      <w:r w:rsidRPr="00412DB3">
        <w:rPr>
          <w:rFonts w:ascii="Tahoma" w:eastAsia="Times New Roman" w:hAnsi="Tahoma" w:cs="Tahoma"/>
          <w:color w:val="000000"/>
          <w:sz w:val="19"/>
          <w:szCs w:val="19"/>
          <w:lang w:eastAsia="en-ZA"/>
        </w:rPr>
        <w:t xml:space="preserve"> provides information on how to determine the adequacy of hearing protector attenuation using the noise reduction rating (NRR) of a given hearing protector.</w:t>
      </w:r>
      <w:r w:rsidRPr="00412DB3">
        <w:rPr>
          <w:rFonts w:ascii="Tahoma" w:eastAsia="Times New Roman" w:hAnsi="Tahoma" w:cs="Tahoma"/>
          <w:color w:val="000000"/>
          <w:sz w:val="19"/>
          <w:szCs w:val="19"/>
          <w:lang w:eastAsia="en-ZA"/>
        </w:rPr>
        <w:br/>
        <w:t xml:space="preserve">  </w:t>
      </w:r>
    </w:p>
    <w:p w:rsidR="00FB1999" w:rsidRPr="00412DB3" w:rsidRDefault="00FB1999" w:rsidP="00412DB3">
      <w:pPr>
        <w:numPr>
          <w:ilvl w:val="0"/>
          <w:numId w:val="1"/>
        </w:numPr>
        <w:spacing w:before="100" w:beforeAutospacing="1" w:after="100" w:afterAutospacing="1" w:line="240" w:lineRule="auto"/>
        <w:rPr>
          <w:rFonts w:ascii="Tahoma" w:eastAsia="Times New Roman" w:hAnsi="Tahoma" w:cs="Tahoma"/>
          <w:color w:val="000000"/>
          <w:sz w:val="19"/>
          <w:szCs w:val="19"/>
          <w:lang w:eastAsia="en-ZA"/>
        </w:rPr>
      </w:pPr>
      <w:r w:rsidRPr="00412DB3">
        <w:rPr>
          <w:rFonts w:ascii="Tahoma" w:eastAsia="Times New Roman" w:hAnsi="Tahoma" w:cs="Tahoma"/>
          <w:color w:val="000000"/>
          <w:sz w:val="19"/>
          <w:szCs w:val="19"/>
          <w:lang w:eastAsia="en-ZA"/>
        </w:rPr>
        <w:t xml:space="preserve">Use the following formulas to estimate the attenuation afforded to a noise-exposed employee in a work environment by muffs, plugs, or a combination of both. </w:t>
      </w:r>
      <w:r w:rsidRPr="00412DB3">
        <w:rPr>
          <w:rFonts w:ascii="Tahoma" w:eastAsia="Times New Roman" w:hAnsi="Tahoma" w:cs="Tahoma"/>
          <w:color w:val="000000"/>
          <w:sz w:val="19"/>
          <w:szCs w:val="19"/>
          <w:lang w:eastAsia="en-ZA"/>
        </w:rPr>
        <w:br/>
        <w:t xml:space="preserve">  </w:t>
      </w:r>
    </w:p>
    <w:p w:rsidR="00FB1999" w:rsidRPr="00412DB3" w:rsidRDefault="00FB1999" w:rsidP="00412DB3">
      <w:pPr>
        <w:numPr>
          <w:ilvl w:val="1"/>
          <w:numId w:val="1"/>
        </w:numPr>
        <w:spacing w:before="100" w:beforeAutospacing="1" w:after="100" w:afterAutospacing="1" w:line="240" w:lineRule="auto"/>
        <w:rPr>
          <w:rFonts w:ascii="Tahoma" w:eastAsia="Times New Roman" w:hAnsi="Tahoma" w:cs="Tahoma"/>
          <w:color w:val="000000"/>
          <w:sz w:val="19"/>
          <w:szCs w:val="19"/>
          <w:lang w:eastAsia="en-ZA"/>
        </w:rPr>
      </w:pPr>
      <w:r w:rsidRPr="00412DB3">
        <w:rPr>
          <w:rFonts w:ascii="Tahoma" w:eastAsia="Times New Roman" w:hAnsi="Tahoma" w:cs="Tahoma"/>
          <w:color w:val="000000"/>
          <w:sz w:val="19"/>
          <w:szCs w:val="19"/>
          <w:lang w:eastAsia="en-ZA"/>
        </w:rPr>
        <w:t xml:space="preserve">A common method used for </w:t>
      </w:r>
      <w:r w:rsidRPr="00412DB3">
        <w:rPr>
          <w:rFonts w:ascii="Tahoma" w:eastAsia="Times New Roman" w:hAnsi="Tahoma" w:cs="Tahoma"/>
          <w:b/>
          <w:bCs/>
          <w:color w:val="000000"/>
          <w:sz w:val="19"/>
          <w:szCs w:val="19"/>
          <w:lang w:eastAsia="en-ZA"/>
        </w:rPr>
        <w:t xml:space="preserve">single protection </w:t>
      </w:r>
      <w:r w:rsidRPr="00412DB3">
        <w:rPr>
          <w:rFonts w:ascii="Tahoma" w:eastAsia="Times New Roman" w:hAnsi="Tahoma" w:cs="Tahoma"/>
          <w:color w:val="000000"/>
          <w:sz w:val="19"/>
          <w:szCs w:val="19"/>
          <w:lang w:eastAsia="en-ZA"/>
        </w:rPr>
        <w:t>(either muffs or plugs) is as follows</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 xml:space="preserve">1. Determine the laboratory-based noise attenuation provided by the HPD.  This is referred to as the Noise Reduction Rating (NRR) and is listed on the packaging.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2. Subtract the NRR from the C-weighted TWA workplace noise level, as follows:</w:t>
      </w:r>
      <w:r w:rsidRPr="00412DB3">
        <w:rPr>
          <w:rFonts w:ascii="Tahoma" w:eastAsia="Times New Roman" w:hAnsi="Tahoma" w:cs="Tahoma"/>
          <w:color w:val="000000"/>
          <w:sz w:val="19"/>
          <w:szCs w:val="19"/>
          <w:lang w:eastAsia="en-ZA"/>
        </w:rPr>
        <w:br/>
      </w:r>
      <w:r w:rsidRPr="00412DB3">
        <w:rPr>
          <w:rFonts w:ascii="Tahoma" w:eastAsia="Times New Roman" w:hAnsi="Tahoma" w:cs="Tahoma"/>
          <w:b/>
          <w:bCs/>
          <w:color w:val="000000"/>
          <w:sz w:val="19"/>
          <w:szCs w:val="19"/>
          <w:lang w:eastAsia="en-ZA"/>
        </w:rPr>
        <w:br/>
        <w:t>Estimated Exposure (dBA) = TWA (</w:t>
      </w:r>
      <w:proofErr w:type="spellStart"/>
      <w:r w:rsidRPr="00412DB3">
        <w:rPr>
          <w:rFonts w:ascii="Tahoma" w:eastAsia="Times New Roman" w:hAnsi="Tahoma" w:cs="Tahoma"/>
          <w:b/>
          <w:bCs/>
          <w:color w:val="000000"/>
          <w:sz w:val="19"/>
          <w:szCs w:val="19"/>
          <w:lang w:eastAsia="en-ZA"/>
        </w:rPr>
        <w:t>dBC</w:t>
      </w:r>
      <w:proofErr w:type="spellEnd"/>
      <w:r w:rsidRPr="00412DB3">
        <w:rPr>
          <w:rFonts w:ascii="Tahoma" w:eastAsia="Times New Roman" w:hAnsi="Tahoma" w:cs="Tahoma"/>
          <w:b/>
          <w:bCs/>
          <w:color w:val="000000"/>
          <w:sz w:val="19"/>
          <w:szCs w:val="19"/>
          <w:lang w:eastAsia="en-ZA"/>
        </w:rPr>
        <w:t>) - NRR</w:t>
      </w:r>
      <w:r w:rsidRPr="00412DB3">
        <w:rPr>
          <w:rFonts w:ascii="Tahoma" w:eastAsia="Times New Roman" w:hAnsi="Tahoma" w:cs="Tahoma"/>
          <w:color w:val="000000"/>
          <w:sz w:val="19"/>
          <w:szCs w:val="19"/>
          <w:lang w:eastAsia="en-ZA"/>
        </w:rPr>
        <w:t xml:space="preserve">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 xml:space="preserve">If C-weighted noise level data is not available, A-weighted data can be used by subtracting a 7 dB correction factor from the NRR, as follows: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r>
      <w:r w:rsidRPr="00412DB3">
        <w:rPr>
          <w:rFonts w:ascii="Tahoma" w:eastAsia="Times New Roman" w:hAnsi="Tahoma" w:cs="Tahoma"/>
          <w:b/>
          <w:bCs/>
          <w:color w:val="000000"/>
          <w:sz w:val="19"/>
          <w:szCs w:val="19"/>
          <w:lang w:eastAsia="en-ZA"/>
        </w:rPr>
        <w:t>Estimated Exposure (dBA) = TWA (dBA) - (NRR - 7)</w:t>
      </w:r>
      <w:r w:rsidRPr="00412DB3">
        <w:rPr>
          <w:rFonts w:ascii="Tahoma" w:eastAsia="Times New Roman" w:hAnsi="Tahoma" w:cs="Tahoma"/>
          <w:color w:val="000000"/>
          <w:sz w:val="19"/>
          <w:szCs w:val="19"/>
          <w:lang w:eastAsia="en-ZA"/>
        </w:rPr>
        <w:t xml:space="preserve">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r>
      <w:r w:rsidRPr="00412DB3">
        <w:rPr>
          <w:rFonts w:ascii="Tahoma" w:eastAsia="Times New Roman" w:hAnsi="Tahoma" w:cs="Tahoma"/>
          <w:i/>
          <w:iCs/>
          <w:color w:val="000000"/>
          <w:sz w:val="19"/>
          <w:szCs w:val="19"/>
          <w:lang w:eastAsia="en-ZA"/>
        </w:rPr>
        <w:t>Example:</w:t>
      </w:r>
      <w:r w:rsidRPr="00412DB3">
        <w:rPr>
          <w:rFonts w:ascii="Tahoma" w:eastAsia="Times New Roman" w:hAnsi="Tahoma" w:cs="Tahoma"/>
          <w:color w:val="000000"/>
          <w:sz w:val="19"/>
          <w:szCs w:val="19"/>
          <w:lang w:eastAsia="en-ZA"/>
        </w:rPr>
        <w:t xml:space="preserve">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 xml:space="preserve">TWA=100 dBA, muff NRR=19 dB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 xml:space="preserve">Estimated Exposure = 100 - (19-7) = 88 dBA </w:t>
      </w:r>
      <w:r w:rsidRPr="00412DB3">
        <w:rPr>
          <w:rFonts w:ascii="Tahoma" w:eastAsia="Times New Roman" w:hAnsi="Tahoma" w:cs="Tahoma"/>
          <w:color w:val="000000"/>
          <w:sz w:val="19"/>
          <w:szCs w:val="19"/>
          <w:lang w:eastAsia="en-ZA"/>
        </w:rPr>
        <w:br/>
        <w:t xml:space="preserve">  </w:t>
      </w:r>
    </w:p>
    <w:p w:rsidR="00FB1999" w:rsidRPr="00412DB3" w:rsidRDefault="00FB1999" w:rsidP="00412DB3">
      <w:pPr>
        <w:numPr>
          <w:ilvl w:val="1"/>
          <w:numId w:val="1"/>
        </w:numPr>
        <w:spacing w:before="100" w:beforeAutospacing="1" w:after="100" w:afterAutospacing="1" w:line="240" w:lineRule="auto"/>
        <w:rPr>
          <w:rFonts w:ascii="Tahoma" w:eastAsia="Times New Roman" w:hAnsi="Tahoma" w:cs="Tahoma"/>
          <w:color w:val="000000"/>
          <w:sz w:val="19"/>
          <w:szCs w:val="19"/>
          <w:lang w:eastAsia="en-ZA"/>
        </w:rPr>
      </w:pPr>
      <w:r w:rsidRPr="00412DB3">
        <w:rPr>
          <w:rFonts w:ascii="Tahoma" w:eastAsia="Times New Roman" w:hAnsi="Tahoma" w:cs="Tahoma"/>
          <w:color w:val="000000"/>
          <w:sz w:val="19"/>
          <w:szCs w:val="19"/>
          <w:lang w:eastAsia="en-ZA"/>
        </w:rPr>
        <w:t xml:space="preserve">For </w:t>
      </w:r>
      <w:r w:rsidRPr="00412DB3">
        <w:rPr>
          <w:rFonts w:ascii="Tahoma" w:eastAsia="Times New Roman" w:hAnsi="Tahoma" w:cs="Tahoma"/>
          <w:b/>
          <w:bCs/>
          <w:color w:val="000000"/>
          <w:sz w:val="19"/>
          <w:szCs w:val="19"/>
          <w:lang w:eastAsia="en-ZA"/>
        </w:rPr>
        <w:t>dual protection</w:t>
      </w:r>
      <w:r w:rsidRPr="00412DB3">
        <w:rPr>
          <w:rFonts w:ascii="Tahoma" w:eastAsia="Times New Roman" w:hAnsi="Tahoma" w:cs="Tahoma"/>
          <w:color w:val="000000"/>
          <w:sz w:val="19"/>
          <w:szCs w:val="19"/>
          <w:lang w:eastAsia="en-ZA"/>
        </w:rPr>
        <w:t xml:space="preserve"> (ear muffs and plugs are used simultaneously) use the following</w:t>
      </w:r>
      <w:proofErr w:type="gramStart"/>
      <w:r w:rsidRPr="00412DB3">
        <w:rPr>
          <w:rFonts w:ascii="Tahoma" w:eastAsia="Times New Roman" w:hAnsi="Tahoma" w:cs="Tahoma"/>
          <w:color w:val="000000"/>
          <w:sz w:val="19"/>
          <w:szCs w:val="19"/>
          <w:lang w:eastAsia="en-ZA"/>
        </w:rPr>
        <w:t>:</w:t>
      </w:r>
      <w:proofErr w:type="gramEnd"/>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 xml:space="preserve">1. Determine the laboratory-based NRR for the </w:t>
      </w:r>
      <w:r w:rsidRPr="00412DB3">
        <w:rPr>
          <w:rFonts w:ascii="Tahoma" w:eastAsia="Times New Roman" w:hAnsi="Tahoma" w:cs="Tahoma"/>
          <w:b/>
          <w:bCs/>
          <w:color w:val="000000"/>
          <w:sz w:val="19"/>
          <w:szCs w:val="19"/>
          <w:lang w:eastAsia="en-ZA"/>
        </w:rPr>
        <w:t>higher</w:t>
      </w:r>
      <w:r w:rsidRPr="00412DB3">
        <w:rPr>
          <w:rFonts w:ascii="Tahoma" w:eastAsia="Times New Roman" w:hAnsi="Tahoma" w:cs="Tahoma"/>
          <w:color w:val="000000"/>
          <w:sz w:val="19"/>
          <w:szCs w:val="19"/>
          <w:lang w:eastAsia="en-ZA"/>
        </w:rPr>
        <w:t xml:space="preserve"> rated protector (</w:t>
      </w:r>
      <w:proofErr w:type="spellStart"/>
      <w:r w:rsidRPr="00412DB3">
        <w:rPr>
          <w:rFonts w:ascii="Tahoma" w:eastAsia="Times New Roman" w:hAnsi="Tahoma" w:cs="Tahoma"/>
          <w:color w:val="000000"/>
          <w:sz w:val="19"/>
          <w:szCs w:val="19"/>
          <w:lang w:eastAsia="en-ZA"/>
        </w:rPr>
        <w:t>NRR</w:t>
      </w:r>
      <w:r w:rsidRPr="00412DB3">
        <w:rPr>
          <w:rFonts w:ascii="Tahoma" w:eastAsia="Times New Roman" w:hAnsi="Tahoma" w:cs="Tahoma"/>
          <w:color w:val="000000"/>
          <w:sz w:val="19"/>
          <w:szCs w:val="19"/>
          <w:vertAlign w:val="subscript"/>
          <w:lang w:eastAsia="en-ZA"/>
        </w:rPr>
        <w:t>h</w:t>
      </w:r>
      <w:proofErr w:type="spellEnd"/>
      <w:r w:rsidRPr="00412DB3">
        <w:rPr>
          <w:rFonts w:ascii="Tahoma" w:eastAsia="Times New Roman" w:hAnsi="Tahoma" w:cs="Tahoma"/>
          <w:color w:val="000000"/>
          <w:sz w:val="19"/>
          <w:szCs w:val="19"/>
          <w:lang w:eastAsia="en-ZA"/>
        </w:rPr>
        <w:t xml:space="preserve">).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 xml:space="preserve">2. Subtract 7 dB from </w:t>
      </w:r>
      <w:proofErr w:type="spellStart"/>
      <w:r w:rsidRPr="00412DB3">
        <w:rPr>
          <w:rFonts w:ascii="Tahoma" w:eastAsia="Times New Roman" w:hAnsi="Tahoma" w:cs="Tahoma"/>
          <w:color w:val="000000"/>
          <w:sz w:val="19"/>
          <w:szCs w:val="19"/>
          <w:lang w:eastAsia="en-ZA"/>
        </w:rPr>
        <w:t>NRR</w:t>
      </w:r>
      <w:r w:rsidRPr="00412DB3">
        <w:rPr>
          <w:rFonts w:ascii="Tahoma" w:eastAsia="Times New Roman" w:hAnsi="Tahoma" w:cs="Tahoma"/>
          <w:color w:val="000000"/>
          <w:sz w:val="19"/>
          <w:szCs w:val="19"/>
          <w:vertAlign w:val="subscript"/>
          <w:lang w:eastAsia="en-ZA"/>
        </w:rPr>
        <w:t>h</w:t>
      </w:r>
      <w:proofErr w:type="spellEnd"/>
      <w:r w:rsidRPr="00412DB3">
        <w:rPr>
          <w:rFonts w:ascii="Tahoma" w:eastAsia="Times New Roman" w:hAnsi="Tahoma" w:cs="Tahoma"/>
          <w:color w:val="000000"/>
          <w:sz w:val="19"/>
          <w:szCs w:val="19"/>
          <w:lang w:eastAsia="en-ZA"/>
        </w:rPr>
        <w:t xml:space="preserve"> if using A-weighted sound level data.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 xml:space="preserve">3. Add 5 dB to the field-adjusted NRR to account for the use of the second hearing protector.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 xml:space="preserve">4. Subtract the remainder from the TWA as follows: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r>
      <w:r w:rsidRPr="00412DB3">
        <w:rPr>
          <w:rFonts w:ascii="Tahoma" w:eastAsia="Times New Roman" w:hAnsi="Tahoma" w:cs="Tahoma"/>
          <w:b/>
          <w:bCs/>
          <w:color w:val="000000"/>
          <w:sz w:val="19"/>
          <w:szCs w:val="19"/>
          <w:lang w:eastAsia="en-ZA"/>
        </w:rPr>
        <w:t>Estimated Exposure (dBA) = TWA (</w:t>
      </w:r>
      <w:proofErr w:type="spellStart"/>
      <w:r w:rsidRPr="00412DB3">
        <w:rPr>
          <w:rFonts w:ascii="Tahoma" w:eastAsia="Times New Roman" w:hAnsi="Tahoma" w:cs="Tahoma"/>
          <w:b/>
          <w:bCs/>
          <w:color w:val="000000"/>
          <w:sz w:val="19"/>
          <w:szCs w:val="19"/>
          <w:lang w:eastAsia="en-ZA"/>
        </w:rPr>
        <w:t>dBC</w:t>
      </w:r>
      <w:proofErr w:type="spellEnd"/>
      <w:r w:rsidRPr="00412DB3">
        <w:rPr>
          <w:rFonts w:ascii="Tahoma" w:eastAsia="Times New Roman" w:hAnsi="Tahoma" w:cs="Tahoma"/>
          <w:b/>
          <w:bCs/>
          <w:color w:val="000000"/>
          <w:sz w:val="19"/>
          <w:szCs w:val="19"/>
          <w:lang w:eastAsia="en-ZA"/>
        </w:rPr>
        <w:t>) - (</w:t>
      </w:r>
      <w:proofErr w:type="spellStart"/>
      <w:r w:rsidRPr="00412DB3">
        <w:rPr>
          <w:rFonts w:ascii="Tahoma" w:eastAsia="Times New Roman" w:hAnsi="Tahoma" w:cs="Tahoma"/>
          <w:b/>
          <w:bCs/>
          <w:color w:val="000000"/>
          <w:sz w:val="19"/>
          <w:szCs w:val="19"/>
          <w:lang w:eastAsia="en-ZA"/>
        </w:rPr>
        <w:t>NRR</w:t>
      </w:r>
      <w:r w:rsidRPr="00412DB3">
        <w:rPr>
          <w:rFonts w:ascii="Tahoma" w:eastAsia="Times New Roman" w:hAnsi="Tahoma" w:cs="Tahoma"/>
          <w:b/>
          <w:bCs/>
          <w:color w:val="000000"/>
          <w:sz w:val="19"/>
          <w:szCs w:val="19"/>
          <w:vertAlign w:val="subscript"/>
          <w:lang w:eastAsia="en-ZA"/>
        </w:rPr>
        <w:t>h</w:t>
      </w:r>
      <w:proofErr w:type="spellEnd"/>
      <w:r w:rsidRPr="00412DB3">
        <w:rPr>
          <w:rFonts w:ascii="Tahoma" w:eastAsia="Times New Roman" w:hAnsi="Tahoma" w:cs="Tahoma"/>
          <w:b/>
          <w:bCs/>
          <w:color w:val="000000"/>
          <w:sz w:val="19"/>
          <w:szCs w:val="19"/>
          <w:lang w:eastAsia="en-ZA"/>
        </w:rPr>
        <w:t xml:space="preserve"> + 5) </w:t>
      </w:r>
      <w:r w:rsidRPr="00412DB3">
        <w:rPr>
          <w:rFonts w:ascii="Tahoma" w:eastAsia="Times New Roman" w:hAnsi="Tahoma" w:cs="Tahoma"/>
          <w:color w:val="000000"/>
          <w:sz w:val="19"/>
          <w:szCs w:val="19"/>
          <w:lang w:eastAsia="en-ZA"/>
        </w:rPr>
        <w:t xml:space="preserve">, or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r>
      <w:r w:rsidRPr="00412DB3">
        <w:rPr>
          <w:rFonts w:ascii="Tahoma" w:eastAsia="Times New Roman" w:hAnsi="Tahoma" w:cs="Tahoma"/>
          <w:b/>
          <w:bCs/>
          <w:color w:val="000000"/>
          <w:sz w:val="19"/>
          <w:szCs w:val="19"/>
          <w:lang w:eastAsia="en-ZA"/>
        </w:rPr>
        <w:t>Estimated Exposure (dBA) = TWA (dBA) - [(</w:t>
      </w:r>
      <w:proofErr w:type="spellStart"/>
      <w:r w:rsidRPr="00412DB3">
        <w:rPr>
          <w:rFonts w:ascii="Tahoma" w:eastAsia="Times New Roman" w:hAnsi="Tahoma" w:cs="Tahoma"/>
          <w:b/>
          <w:bCs/>
          <w:color w:val="000000"/>
          <w:sz w:val="19"/>
          <w:szCs w:val="19"/>
          <w:lang w:eastAsia="en-ZA"/>
        </w:rPr>
        <w:t>NRR</w:t>
      </w:r>
      <w:r w:rsidRPr="00412DB3">
        <w:rPr>
          <w:rFonts w:ascii="Tahoma" w:eastAsia="Times New Roman" w:hAnsi="Tahoma" w:cs="Tahoma"/>
          <w:b/>
          <w:bCs/>
          <w:color w:val="000000"/>
          <w:sz w:val="19"/>
          <w:szCs w:val="19"/>
          <w:vertAlign w:val="subscript"/>
          <w:lang w:eastAsia="en-ZA"/>
        </w:rPr>
        <w:t>h</w:t>
      </w:r>
      <w:proofErr w:type="spellEnd"/>
      <w:r w:rsidRPr="00412DB3">
        <w:rPr>
          <w:rFonts w:ascii="Tahoma" w:eastAsia="Times New Roman" w:hAnsi="Tahoma" w:cs="Tahoma"/>
          <w:b/>
          <w:bCs/>
          <w:color w:val="000000"/>
          <w:sz w:val="19"/>
          <w:szCs w:val="19"/>
          <w:lang w:eastAsia="en-ZA"/>
        </w:rPr>
        <w:t>- 7) + 5]</w:t>
      </w:r>
      <w:r w:rsidRPr="00412DB3">
        <w:rPr>
          <w:rFonts w:ascii="Tahoma" w:eastAsia="Times New Roman" w:hAnsi="Tahoma" w:cs="Tahoma"/>
          <w:color w:val="000000"/>
          <w:sz w:val="19"/>
          <w:szCs w:val="19"/>
          <w:lang w:eastAsia="en-ZA"/>
        </w:rPr>
        <w:t xml:space="preserve">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r>
      <w:r w:rsidRPr="00412DB3">
        <w:rPr>
          <w:rFonts w:ascii="Tahoma" w:eastAsia="Times New Roman" w:hAnsi="Tahoma" w:cs="Tahoma"/>
          <w:i/>
          <w:iCs/>
          <w:color w:val="000000"/>
          <w:sz w:val="19"/>
          <w:szCs w:val="19"/>
          <w:lang w:eastAsia="en-ZA"/>
        </w:rPr>
        <w:t>Example:</w:t>
      </w:r>
      <w:r w:rsidRPr="00412DB3">
        <w:rPr>
          <w:rFonts w:ascii="Tahoma" w:eastAsia="Times New Roman" w:hAnsi="Tahoma" w:cs="Tahoma"/>
          <w:color w:val="000000"/>
          <w:sz w:val="19"/>
          <w:szCs w:val="19"/>
          <w:lang w:eastAsia="en-ZA"/>
        </w:rPr>
        <w:t xml:space="preserve">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 xml:space="preserve">TWA=110 dBA, plug NRR=29, and muff NRR=25 dB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Estimated Exposure = 110 - [(29 - 7) + 5] = 83 dBA</w:t>
      </w:r>
      <w:r w:rsidRPr="00412DB3">
        <w:rPr>
          <w:rFonts w:ascii="Tahoma" w:eastAsia="Times New Roman" w:hAnsi="Tahoma" w:cs="Tahoma"/>
          <w:color w:val="000000"/>
          <w:sz w:val="19"/>
          <w:szCs w:val="19"/>
          <w:lang w:eastAsia="en-ZA"/>
        </w:rPr>
        <w:br/>
        <w:t xml:space="preserve">  </w:t>
      </w:r>
    </w:p>
    <w:p w:rsidR="00FB1999" w:rsidRPr="00412DB3" w:rsidRDefault="00FB1999" w:rsidP="00412DB3">
      <w:pPr>
        <w:numPr>
          <w:ilvl w:val="1"/>
          <w:numId w:val="1"/>
        </w:numPr>
        <w:spacing w:before="100" w:beforeAutospacing="1" w:after="240" w:line="240" w:lineRule="auto"/>
        <w:rPr>
          <w:rFonts w:ascii="Tahoma" w:eastAsia="Times New Roman" w:hAnsi="Tahoma" w:cs="Tahoma"/>
          <w:color w:val="000000"/>
          <w:sz w:val="19"/>
          <w:szCs w:val="19"/>
          <w:lang w:eastAsia="en-ZA"/>
        </w:rPr>
      </w:pPr>
      <w:r w:rsidRPr="00412DB3">
        <w:rPr>
          <w:rFonts w:ascii="Tahoma" w:eastAsia="Times New Roman" w:hAnsi="Tahoma" w:cs="Tahoma"/>
          <w:color w:val="000000"/>
          <w:sz w:val="19"/>
          <w:szCs w:val="19"/>
          <w:lang w:eastAsia="en-ZA"/>
        </w:rPr>
        <w:t xml:space="preserve">OSHA's experience and the published scientific literature have shown that laboratory-obtained real ear attenuation for HPDs can seldom be achieved in the workplace. To adjust for workplace conditions, </w:t>
      </w:r>
      <w:r w:rsidRPr="00412DB3">
        <w:rPr>
          <w:rFonts w:ascii="Tahoma" w:eastAsia="Times New Roman" w:hAnsi="Tahoma" w:cs="Tahoma"/>
          <w:b/>
          <w:bCs/>
          <w:color w:val="000000"/>
          <w:sz w:val="19"/>
          <w:szCs w:val="19"/>
          <w:lang w:eastAsia="en-ZA"/>
        </w:rPr>
        <w:t xml:space="preserve">OSHA strongly recommends applying a 50% </w:t>
      </w:r>
      <w:r w:rsidRPr="00412DB3">
        <w:rPr>
          <w:rFonts w:ascii="Tahoma" w:eastAsia="Times New Roman" w:hAnsi="Tahoma" w:cs="Tahoma"/>
          <w:b/>
          <w:bCs/>
          <w:color w:val="000000"/>
          <w:sz w:val="19"/>
          <w:szCs w:val="19"/>
          <w:lang w:eastAsia="en-ZA"/>
        </w:rPr>
        <w:lastRenderedPageBreak/>
        <w:t>correction factor</w:t>
      </w:r>
      <w:r w:rsidRPr="00412DB3">
        <w:rPr>
          <w:rFonts w:ascii="Tahoma" w:eastAsia="Times New Roman" w:hAnsi="Tahoma" w:cs="Tahoma"/>
          <w:color w:val="000000"/>
          <w:sz w:val="19"/>
          <w:szCs w:val="19"/>
          <w:lang w:eastAsia="en-ZA"/>
        </w:rPr>
        <w:t xml:space="preserve"> when estimating field attenuation. This is especially important when considering whether engineering controls are to be implemented. The equations above would then be modified as follows: </w:t>
      </w:r>
    </w:p>
    <w:p w:rsidR="00FB1999" w:rsidRPr="00412DB3" w:rsidRDefault="00FB1999" w:rsidP="00412DB3">
      <w:pPr>
        <w:numPr>
          <w:ilvl w:val="2"/>
          <w:numId w:val="1"/>
        </w:numPr>
        <w:spacing w:before="100" w:beforeAutospacing="1" w:after="240" w:line="240" w:lineRule="auto"/>
        <w:rPr>
          <w:rFonts w:ascii="Tahoma" w:eastAsia="Times New Roman" w:hAnsi="Tahoma" w:cs="Tahoma"/>
          <w:color w:val="000000"/>
          <w:sz w:val="19"/>
          <w:szCs w:val="19"/>
          <w:lang w:eastAsia="en-ZA"/>
        </w:rPr>
      </w:pPr>
      <w:r w:rsidRPr="00412DB3">
        <w:rPr>
          <w:rFonts w:ascii="Tahoma" w:eastAsia="Times New Roman" w:hAnsi="Tahoma" w:cs="Tahoma"/>
          <w:color w:val="000000"/>
          <w:sz w:val="19"/>
          <w:szCs w:val="19"/>
          <w:lang w:eastAsia="en-ZA"/>
        </w:rPr>
        <w:t>Single Protection:</w:t>
      </w:r>
      <w:r w:rsidRPr="00412DB3">
        <w:rPr>
          <w:rFonts w:ascii="Tahoma" w:eastAsia="Times New Roman" w:hAnsi="Tahoma" w:cs="Tahoma"/>
          <w:color w:val="000000"/>
          <w:sz w:val="19"/>
          <w:szCs w:val="19"/>
          <w:lang w:eastAsia="en-ZA"/>
        </w:rPr>
        <w:br/>
        <w:t>Estimated Exposure (dBA) = TWA (</w:t>
      </w:r>
      <w:proofErr w:type="spellStart"/>
      <w:r w:rsidRPr="00412DB3">
        <w:rPr>
          <w:rFonts w:ascii="Tahoma" w:eastAsia="Times New Roman" w:hAnsi="Tahoma" w:cs="Tahoma"/>
          <w:color w:val="000000"/>
          <w:sz w:val="19"/>
          <w:szCs w:val="19"/>
          <w:lang w:eastAsia="en-ZA"/>
        </w:rPr>
        <w:t>dBC</w:t>
      </w:r>
      <w:proofErr w:type="spellEnd"/>
      <w:r w:rsidRPr="00412DB3">
        <w:rPr>
          <w:rFonts w:ascii="Tahoma" w:eastAsia="Times New Roman" w:hAnsi="Tahoma" w:cs="Tahoma"/>
          <w:color w:val="000000"/>
          <w:sz w:val="19"/>
          <w:szCs w:val="19"/>
          <w:lang w:eastAsia="en-ZA"/>
        </w:rPr>
        <w:t xml:space="preserve">) - [NRR x 50%], or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 xml:space="preserve">Estimated Exposure (dBA) = TWA (dBA) - [(NRR - 7) x 50%] </w:t>
      </w:r>
    </w:p>
    <w:p w:rsidR="00FB1999" w:rsidRPr="00412DB3" w:rsidRDefault="00FB1999" w:rsidP="00412DB3">
      <w:pPr>
        <w:numPr>
          <w:ilvl w:val="2"/>
          <w:numId w:val="1"/>
        </w:numPr>
        <w:spacing w:before="100" w:beforeAutospacing="1" w:after="100" w:afterAutospacing="1" w:line="240" w:lineRule="auto"/>
        <w:rPr>
          <w:rFonts w:ascii="Tahoma" w:eastAsia="Times New Roman" w:hAnsi="Tahoma" w:cs="Tahoma"/>
          <w:color w:val="000000"/>
          <w:sz w:val="19"/>
          <w:szCs w:val="19"/>
          <w:lang w:eastAsia="en-ZA"/>
        </w:rPr>
      </w:pPr>
      <w:r w:rsidRPr="00412DB3">
        <w:rPr>
          <w:rFonts w:ascii="Tahoma" w:eastAsia="Times New Roman" w:hAnsi="Tahoma" w:cs="Tahoma"/>
          <w:color w:val="000000"/>
          <w:sz w:val="19"/>
          <w:szCs w:val="19"/>
          <w:lang w:eastAsia="en-ZA"/>
        </w:rPr>
        <w:t>Dual Protection:</w:t>
      </w:r>
      <w:r w:rsidRPr="00412DB3">
        <w:rPr>
          <w:rFonts w:ascii="Tahoma" w:eastAsia="Times New Roman" w:hAnsi="Tahoma" w:cs="Tahoma"/>
          <w:color w:val="000000"/>
          <w:sz w:val="19"/>
          <w:szCs w:val="19"/>
          <w:lang w:eastAsia="en-ZA"/>
        </w:rPr>
        <w:br/>
        <w:t>Estimated Exposure (dBA) = TWA (</w:t>
      </w:r>
      <w:proofErr w:type="spellStart"/>
      <w:r w:rsidRPr="00412DB3">
        <w:rPr>
          <w:rFonts w:ascii="Tahoma" w:eastAsia="Times New Roman" w:hAnsi="Tahoma" w:cs="Tahoma"/>
          <w:color w:val="000000"/>
          <w:sz w:val="19"/>
          <w:szCs w:val="19"/>
          <w:lang w:eastAsia="en-ZA"/>
        </w:rPr>
        <w:t>dBC</w:t>
      </w:r>
      <w:proofErr w:type="spellEnd"/>
      <w:r w:rsidRPr="00412DB3">
        <w:rPr>
          <w:rFonts w:ascii="Tahoma" w:eastAsia="Times New Roman" w:hAnsi="Tahoma" w:cs="Tahoma"/>
          <w:color w:val="000000"/>
          <w:sz w:val="19"/>
          <w:szCs w:val="19"/>
          <w:lang w:eastAsia="en-ZA"/>
        </w:rPr>
        <w:t>) - [(</w:t>
      </w:r>
      <w:proofErr w:type="spellStart"/>
      <w:r w:rsidRPr="00412DB3">
        <w:rPr>
          <w:rFonts w:ascii="Tahoma" w:eastAsia="Times New Roman" w:hAnsi="Tahoma" w:cs="Tahoma"/>
          <w:color w:val="000000"/>
          <w:sz w:val="19"/>
          <w:szCs w:val="19"/>
          <w:lang w:eastAsia="en-ZA"/>
        </w:rPr>
        <w:t>NRR</w:t>
      </w:r>
      <w:r w:rsidRPr="00412DB3">
        <w:rPr>
          <w:rFonts w:ascii="Tahoma" w:eastAsia="Times New Roman" w:hAnsi="Tahoma" w:cs="Tahoma"/>
          <w:color w:val="000000"/>
          <w:sz w:val="19"/>
          <w:szCs w:val="19"/>
          <w:vertAlign w:val="subscript"/>
          <w:lang w:eastAsia="en-ZA"/>
        </w:rPr>
        <w:t>h</w:t>
      </w:r>
      <w:proofErr w:type="spellEnd"/>
      <w:r w:rsidRPr="00412DB3">
        <w:rPr>
          <w:rFonts w:ascii="Tahoma" w:eastAsia="Times New Roman" w:hAnsi="Tahoma" w:cs="Tahoma"/>
          <w:color w:val="000000"/>
          <w:sz w:val="19"/>
          <w:szCs w:val="19"/>
          <w:lang w:eastAsia="en-ZA"/>
        </w:rPr>
        <w:t xml:space="preserve"> x 50%) + 5] , or </w:t>
      </w:r>
      <w:r w:rsidRPr="00412DB3">
        <w:rPr>
          <w:rFonts w:ascii="Tahoma" w:eastAsia="Times New Roman" w:hAnsi="Tahoma" w:cs="Tahoma"/>
          <w:color w:val="000000"/>
          <w:sz w:val="19"/>
          <w:szCs w:val="19"/>
          <w:lang w:eastAsia="en-ZA"/>
        </w:rPr>
        <w:br/>
      </w:r>
      <w:r w:rsidRPr="00412DB3">
        <w:rPr>
          <w:rFonts w:ascii="Tahoma" w:eastAsia="Times New Roman" w:hAnsi="Tahoma" w:cs="Tahoma"/>
          <w:color w:val="000000"/>
          <w:sz w:val="19"/>
          <w:szCs w:val="19"/>
          <w:lang w:eastAsia="en-ZA"/>
        </w:rPr>
        <w:br/>
        <w:t>Estimated Exposure (dBA) = TWA (dBA) - {[(</w:t>
      </w:r>
      <w:proofErr w:type="spellStart"/>
      <w:r w:rsidRPr="00412DB3">
        <w:rPr>
          <w:rFonts w:ascii="Tahoma" w:eastAsia="Times New Roman" w:hAnsi="Tahoma" w:cs="Tahoma"/>
          <w:color w:val="000000"/>
          <w:sz w:val="19"/>
          <w:szCs w:val="19"/>
          <w:lang w:eastAsia="en-ZA"/>
        </w:rPr>
        <w:t>NRR</w:t>
      </w:r>
      <w:r w:rsidRPr="00412DB3">
        <w:rPr>
          <w:rFonts w:ascii="Tahoma" w:eastAsia="Times New Roman" w:hAnsi="Tahoma" w:cs="Tahoma"/>
          <w:color w:val="000000"/>
          <w:sz w:val="19"/>
          <w:szCs w:val="19"/>
          <w:vertAlign w:val="subscript"/>
          <w:lang w:eastAsia="en-ZA"/>
        </w:rPr>
        <w:t>h</w:t>
      </w:r>
      <w:proofErr w:type="spellEnd"/>
      <w:r w:rsidRPr="00412DB3">
        <w:rPr>
          <w:rFonts w:ascii="Tahoma" w:eastAsia="Times New Roman" w:hAnsi="Tahoma" w:cs="Tahoma"/>
          <w:color w:val="000000"/>
          <w:sz w:val="19"/>
          <w:szCs w:val="19"/>
          <w:vertAlign w:val="subscript"/>
          <w:lang w:eastAsia="en-ZA"/>
        </w:rPr>
        <w:t xml:space="preserve"> </w:t>
      </w:r>
      <w:r w:rsidRPr="00412DB3">
        <w:rPr>
          <w:rFonts w:ascii="Tahoma" w:eastAsia="Times New Roman" w:hAnsi="Tahoma" w:cs="Tahoma"/>
          <w:color w:val="000000"/>
          <w:sz w:val="19"/>
          <w:szCs w:val="19"/>
          <w:lang w:eastAsia="en-ZA"/>
        </w:rPr>
        <w:t xml:space="preserve">- 7) x 50%] + 5} </w:t>
      </w:r>
    </w:p>
    <w:p w:rsidR="00D2437F" w:rsidRDefault="00D2437F"/>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p w:rsidR="00412DB3" w:rsidRDefault="00412DB3"/>
    <w:tbl>
      <w:tblPr>
        <w:tblW w:w="5000" w:type="pct"/>
        <w:tblCellSpacing w:w="0" w:type="dxa"/>
        <w:tblCellMar>
          <w:left w:w="0" w:type="dxa"/>
          <w:right w:w="0" w:type="dxa"/>
        </w:tblCellMar>
        <w:tblLook w:val="04A0" w:firstRow="1" w:lastRow="0" w:firstColumn="1" w:lastColumn="0" w:noHBand="0" w:noVBand="1"/>
      </w:tblPr>
      <w:tblGrid>
        <w:gridCol w:w="9026"/>
      </w:tblGrid>
      <w:tr w:rsidR="00412DB3" w:rsidRPr="00412DB3" w:rsidTr="00412DB3">
        <w:trPr>
          <w:tblCellSpacing w:w="0" w:type="dxa"/>
        </w:trPr>
        <w:tc>
          <w:tcPr>
            <w:tcW w:w="4000" w:type="pct"/>
            <w:shd w:val="clear" w:color="auto" w:fill="auto"/>
            <w:vAlign w:val="center"/>
            <w:hideMark/>
          </w:tcPr>
          <w:p w:rsidR="00412DB3" w:rsidRPr="00412DB3" w:rsidRDefault="00412DB3" w:rsidP="00412DB3">
            <w:pPr>
              <w:spacing w:after="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Methods for estimating the adequacy of hearing protector attenuation</w:t>
            </w:r>
          </w:p>
        </w:tc>
      </w:tr>
      <w:tr w:rsidR="00412DB3" w:rsidRPr="00412DB3" w:rsidTr="00412DB3">
        <w:trPr>
          <w:tblCellSpacing w:w="0" w:type="dxa"/>
        </w:trPr>
        <w:tc>
          <w:tcPr>
            <w:tcW w:w="0" w:type="auto"/>
            <w:shd w:val="clear" w:color="auto" w:fill="auto"/>
            <w:vAlign w:val="center"/>
            <w:hideMark/>
          </w:tcPr>
          <w:p w:rsidR="00412DB3" w:rsidRPr="00412DB3" w:rsidRDefault="00412DB3" w:rsidP="00412DB3">
            <w:pPr>
              <w:spacing w:after="0" w:line="270" w:lineRule="atLeast"/>
              <w:rPr>
                <w:rFonts w:ascii="Tahoma" w:eastAsia="Times New Roman" w:hAnsi="Tahoma" w:cs="Tahoma"/>
                <w:color w:val="333333"/>
                <w:sz w:val="20"/>
                <w:szCs w:val="20"/>
                <w:lang w:eastAsia="en-ZA"/>
              </w:rPr>
            </w:pPr>
          </w:p>
        </w:tc>
      </w:tr>
    </w:tbl>
    <w:p w:rsidR="00412DB3" w:rsidRPr="00412DB3" w:rsidRDefault="00412DB3" w:rsidP="00412DB3">
      <w:pPr>
        <w:shd w:val="clear" w:color="auto" w:fill="FFFFFF"/>
        <w:spacing w:after="150" w:line="270" w:lineRule="atLeast"/>
        <w:rPr>
          <w:rFonts w:ascii="Tahoma" w:eastAsia="Times New Roman" w:hAnsi="Tahoma" w:cs="Tahoma"/>
          <w:vanish/>
          <w:color w:val="333333"/>
          <w:sz w:val="20"/>
          <w:szCs w:val="20"/>
          <w:lang w:val="en-US" w:eastAsia="en-ZA"/>
        </w:rPr>
      </w:pPr>
    </w:p>
    <w:tbl>
      <w:tblPr>
        <w:tblW w:w="5000" w:type="pct"/>
        <w:tblCellSpacing w:w="0" w:type="dxa"/>
        <w:tblCellMar>
          <w:left w:w="0" w:type="dxa"/>
          <w:right w:w="0" w:type="dxa"/>
        </w:tblCellMar>
        <w:tblLook w:val="04A0" w:firstRow="1" w:lastRow="0" w:firstColumn="1" w:lastColumn="0" w:noHBand="0" w:noVBand="1"/>
      </w:tblPr>
      <w:tblGrid>
        <w:gridCol w:w="9026"/>
      </w:tblGrid>
      <w:tr w:rsidR="00412DB3" w:rsidRPr="00412DB3" w:rsidTr="00412DB3">
        <w:trPr>
          <w:tblCellSpacing w:w="0" w:type="dxa"/>
        </w:trPr>
        <w:tc>
          <w:tcPr>
            <w:tcW w:w="0" w:type="auto"/>
            <w:shd w:val="clear" w:color="auto" w:fill="auto"/>
            <w:vAlign w:val="center"/>
            <w:hideMark/>
          </w:tcPr>
          <w:p w:rsidR="00412DB3" w:rsidRPr="00412DB3" w:rsidRDefault="00FB1999" w:rsidP="00412DB3">
            <w:pPr>
              <w:spacing w:before="300" w:after="300" w:line="270" w:lineRule="atLeast"/>
              <w:rPr>
                <w:rFonts w:ascii="Tahoma" w:eastAsia="Times New Roman" w:hAnsi="Tahoma" w:cs="Tahoma"/>
                <w:color w:val="333333"/>
                <w:sz w:val="20"/>
                <w:szCs w:val="20"/>
                <w:lang w:eastAsia="en-ZA"/>
              </w:rPr>
            </w:pPr>
            <w:r>
              <w:rPr>
                <w:rFonts w:ascii="Tahoma" w:eastAsia="Times New Roman" w:hAnsi="Tahoma" w:cs="Tahoma"/>
                <w:color w:val="333333"/>
                <w:sz w:val="20"/>
                <w:szCs w:val="20"/>
                <w:lang w:eastAsia="en-ZA"/>
              </w:rPr>
              <w:lastRenderedPageBreak/>
              <w:pict>
                <v:rect id="_x0000_i1025" style="width:0;height:1.5pt" o:hralign="center" o:hrstd="t" o:hr="t" fillcolor="#a0a0a0" stroked="f"/>
              </w:pict>
            </w:r>
          </w:p>
        </w:tc>
      </w:tr>
    </w:tbl>
    <w:p w:rsidR="00412DB3" w:rsidRPr="00412DB3" w:rsidRDefault="00412DB3" w:rsidP="00412DB3">
      <w:pPr>
        <w:shd w:val="clear" w:color="auto" w:fill="FFFFFF"/>
        <w:spacing w:after="150" w:line="270" w:lineRule="atLeast"/>
        <w:rPr>
          <w:rFonts w:ascii="Tahoma" w:eastAsia="Times New Roman" w:hAnsi="Tahoma" w:cs="Tahoma"/>
          <w:vanish/>
          <w:color w:val="333333"/>
          <w:sz w:val="20"/>
          <w:szCs w:val="20"/>
          <w:lang w:val="en-US" w:eastAsia="en-ZA"/>
        </w:rPr>
      </w:pPr>
    </w:p>
    <w:tbl>
      <w:tblPr>
        <w:tblW w:w="5000" w:type="pct"/>
        <w:tblCellSpacing w:w="0" w:type="dxa"/>
        <w:tblCellMar>
          <w:left w:w="0" w:type="dxa"/>
          <w:right w:w="0" w:type="dxa"/>
        </w:tblCellMar>
        <w:tblLook w:val="04A0" w:firstRow="1" w:lastRow="0" w:firstColumn="1" w:lastColumn="0" w:noHBand="0" w:noVBand="1"/>
      </w:tblPr>
      <w:tblGrid>
        <w:gridCol w:w="9026"/>
      </w:tblGrid>
      <w:tr w:rsidR="00412DB3" w:rsidRPr="00412DB3" w:rsidTr="00412DB3">
        <w:trPr>
          <w:tblCellSpacing w:w="0" w:type="dxa"/>
        </w:trPr>
        <w:tc>
          <w:tcPr>
            <w:tcW w:w="0" w:type="auto"/>
            <w:shd w:val="clear" w:color="auto" w:fill="auto"/>
            <w:vAlign w:val="center"/>
            <w:hideMark/>
          </w:tcPr>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This Appendix is Mandatory</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 xml:space="preserve">For employees who have experienced a significant threshold shift, hearing protector attenuation must be sufficient to reduce employee exposure to a TWA of 85 </w:t>
            </w:r>
            <w:proofErr w:type="spellStart"/>
            <w:r w:rsidRPr="00412DB3">
              <w:rPr>
                <w:rFonts w:ascii="Tahoma" w:eastAsia="Times New Roman" w:hAnsi="Tahoma" w:cs="Tahoma"/>
                <w:color w:val="333333"/>
                <w:sz w:val="20"/>
                <w:szCs w:val="20"/>
                <w:lang w:eastAsia="en-ZA"/>
              </w:rPr>
              <w:t>dB.</w:t>
            </w:r>
            <w:proofErr w:type="spellEnd"/>
            <w:r w:rsidRPr="00412DB3">
              <w:rPr>
                <w:rFonts w:ascii="Tahoma" w:eastAsia="Times New Roman" w:hAnsi="Tahoma" w:cs="Tahoma"/>
                <w:color w:val="333333"/>
                <w:sz w:val="20"/>
                <w:szCs w:val="20"/>
                <w:lang w:eastAsia="en-ZA"/>
              </w:rPr>
              <w:t xml:space="preserve"> Employers must select one of the following methods by which to estimate the adequacy of hearing protector attenuation.</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The most convenient method is the Noise Reduction Rating (NRR) developed by the Environmental Protection Agency (EPA). According to EPA regulation, the NRR must be shown on the hearing protector package. The NRR is then related to an individual worker's noise environment in order to assess the adequacy of the attenuation of a given hearing protector. This appendix describes four methods of using the NRR to determine whether a particular hearing protector provides adequate protection within a given exposure environment. Selection among the four procedures is dependent upon the employer's noise measuring instruments.</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Instead of using the NRR, employers may evaluate the adequacy of hearing protector attenuation by using one of the three methods developed by the National Institute for Occupational Safety and Health (NIOSH), which are described in the "List of Personal Hearing Protectors and Attenuation Data," HEW Publication No. 76-120, 1975, pages 21-37. These methods are known as NIOSH methods No. 1, No. 2 and No. 3. The NRR described below is a simplification of NIOSH method No. 2. The most complex method is NIOSH method No. 1, which is probably the most accurate method since it uses the largest amount of spectral information from the individual employee's noise environment. As in the case of the NRR method described below, if one of the NIOSH methods is used, the selected method must be applied to an individual's noise environment to assess the adequacy of the attenuation. Employers should be careful to take a sufficient number of measurements in order to achieve a representative sample for each time segment.</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NOTE: The employer must remember that calculated attenuation values reflect realistic values only to the extent that the protectors are properly fitted and worn.</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When using the NRR to assess hearing protector adequacy, one of the following methods must be used:</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(i) When using a dosimeter that is capable of C-weighted measurements:</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 xml:space="preserve">(A) Obtain the employee's C-weighted dose for the entire </w:t>
            </w:r>
            <w:proofErr w:type="spellStart"/>
            <w:r w:rsidRPr="00412DB3">
              <w:rPr>
                <w:rFonts w:ascii="Tahoma" w:eastAsia="Times New Roman" w:hAnsi="Tahoma" w:cs="Tahoma"/>
                <w:color w:val="333333"/>
                <w:sz w:val="20"/>
                <w:szCs w:val="20"/>
                <w:lang w:eastAsia="en-ZA"/>
              </w:rPr>
              <w:t>workshift</w:t>
            </w:r>
            <w:proofErr w:type="spellEnd"/>
            <w:r w:rsidRPr="00412DB3">
              <w:rPr>
                <w:rFonts w:ascii="Tahoma" w:eastAsia="Times New Roman" w:hAnsi="Tahoma" w:cs="Tahoma"/>
                <w:color w:val="333333"/>
                <w:sz w:val="20"/>
                <w:szCs w:val="20"/>
                <w:lang w:eastAsia="en-ZA"/>
              </w:rPr>
              <w:t>, and convert to TWA (see appendix A, II).</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(B) Subtract the NRR from the C-weighted TWA to obtain the estimated A-weighted TWA under the ear protector.</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(ii) When using a dosimeter that is not capable of C-weighted measurements, the following method may be used:</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(A) Convert the A-weighted dose to TWA (see appendix A).</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(B) Subtract 7 dB from the NRR.</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(C) Subtract the remainder from the A-weighted TWA to obtain the estimated A-weighted TWA under the ear protector.</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(iii) When using a sound level meter set to the A-weighting network:</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(A) Obtain the employee's A-weighted TWA.</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 xml:space="preserve">(B) Subtract 7 dB from the NRR, and subtract the remainder from the A-weighted TWA to obtain the </w:t>
            </w:r>
            <w:r w:rsidRPr="00412DB3">
              <w:rPr>
                <w:rFonts w:ascii="Tahoma" w:eastAsia="Times New Roman" w:hAnsi="Tahoma" w:cs="Tahoma"/>
                <w:color w:val="333333"/>
                <w:sz w:val="20"/>
                <w:szCs w:val="20"/>
                <w:lang w:eastAsia="en-ZA"/>
              </w:rPr>
              <w:lastRenderedPageBreak/>
              <w:t>estimated A-weighted TWA under the ear protector.</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(iv) When using a sound level meter set on the C-weighting network:</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(A) Obtain a representative sample of the C-weighted sound levels in the employee's environment.</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(B) Subtract the NRR from the C-weighted average sound level to obtain the estimated A-weighted TWA under the ear protector.</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(v) When using area monitoring procedures and a sound level meter set to the A-weighing network.</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(A) Obtain a representative sound level for the area in question.</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(B) Subtract 7 dB from the NRR and subtract the remainder from the A-weighted sound level for that area.</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(vi) When using area monitoring procedures and a sound level meter set to the C-weighting network:</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(A) Obtain a representative sound level for the area in question.</w:t>
            </w:r>
          </w:p>
          <w:p w:rsidR="00412DB3" w:rsidRPr="00412DB3" w:rsidRDefault="00412DB3" w:rsidP="00412DB3">
            <w:pPr>
              <w:spacing w:after="150" w:line="270" w:lineRule="atLeast"/>
              <w:rPr>
                <w:rFonts w:ascii="Tahoma" w:eastAsia="Times New Roman" w:hAnsi="Tahoma" w:cs="Tahoma"/>
                <w:color w:val="333333"/>
                <w:sz w:val="20"/>
                <w:szCs w:val="20"/>
                <w:lang w:eastAsia="en-ZA"/>
              </w:rPr>
            </w:pPr>
            <w:r w:rsidRPr="00412DB3">
              <w:rPr>
                <w:rFonts w:ascii="Tahoma" w:eastAsia="Times New Roman" w:hAnsi="Tahoma" w:cs="Tahoma"/>
                <w:color w:val="333333"/>
                <w:sz w:val="20"/>
                <w:szCs w:val="20"/>
                <w:lang w:eastAsia="en-ZA"/>
              </w:rPr>
              <w:t>(B) Subtract the NRR from the C-weighted sound level for that area.</w:t>
            </w:r>
          </w:p>
        </w:tc>
      </w:tr>
    </w:tbl>
    <w:p w:rsidR="00412DB3" w:rsidRPr="00412DB3" w:rsidRDefault="00FB1999" w:rsidP="00412DB3">
      <w:pPr>
        <w:shd w:val="clear" w:color="auto" w:fill="FFFFFF"/>
        <w:spacing w:before="300" w:after="300" w:line="270" w:lineRule="atLeast"/>
        <w:rPr>
          <w:rFonts w:ascii="Tahoma" w:eastAsia="Times New Roman" w:hAnsi="Tahoma" w:cs="Tahoma"/>
          <w:color w:val="333333"/>
          <w:sz w:val="20"/>
          <w:szCs w:val="20"/>
          <w:lang w:val="en-US" w:eastAsia="en-ZA"/>
        </w:rPr>
      </w:pPr>
      <w:r>
        <w:rPr>
          <w:rFonts w:ascii="Tahoma" w:eastAsia="Times New Roman" w:hAnsi="Tahoma" w:cs="Tahoma"/>
          <w:color w:val="333333"/>
          <w:sz w:val="20"/>
          <w:szCs w:val="20"/>
          <w:lang w:val="en-US" w:eastAsia="en-ZA"/>
        </w:rPr>
        <w:lastRenderedPageBreak/>
        <w:pict>
          <v:rect id="_x0000_i1026" style="width:0;height:1.5pt" o:hralign="center" o:hrstd="t" o:hr="t" fillcolor="#a0a0a0" stroked="f"/>
        </w:pict>
      </w:r>
    </w:p>
    <w:p w:rsidR="00412DB3" w:rsidRDefault="00412DB3"/>
    <w:p w:rsidR="00412DB3" w:rsidRDefault="00412DB3"/>
    <w:sectPr w:rsidR="00412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5F976063"/>
    <w:multiLevelType w:val="multilevel"/>
    <w:tmpl w:val="24925E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0"/>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B3"/>
    <w:rsid w:val="00412DB3"/>
    <w:rsid w:val="00D2437F"/>
    <w:rsid w:val="00FB19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2DB3"/>
    <w:rPr>
      <w:color w:val="0000FF"/>
      <w:u w:val="single"/>
    </w:rPr>
  </w:style>
  <w:style w:type="character" w:styleId="Strong">
    <w:name w:val="Strong"/>
    <w:basedOn w:val="DefaultParagraphFont"/>
    <w:uiPriority w:val="22"/>
    <w:qFormat/>
    <w:rsid w:val="00412DB3"/>
    <w:rPr>
      <w:b/>
      <w:bCs/>
    </w:rPr>
  </w:style>
  <w:style w:type="character" w:styleId="Emphasis">
    <w:name w:val="Emphasis"/>
    <w:basedOn w:val="DefaultParagraphFont"/>
    <w:uiPriority w:val="20"/>
    <w:qFormat/>
    <w:rsid w:val="00412DB3"/>
    <w:rPr>
      <w:i/>
      <w:iCs/>
    </w:rPr>
  </w:style>
  <w:style w:type="paragraph" w:customStyle="1" w:styleId="block1">
    <w:name w:val="block1"/>
    <w:basedOn w:val="Normal"/>
    <w:rsid w:val="00412DB3"/>
    <w:pPr>
      <w:spacing w:after="150" w:line="240" w:lineRule="auto"/>
    </w:pPr>
    <w:rPr>
      <w:rFonts w:ascii="Times New Roman" w:eastAsia="Times New Roman" w:hAnsi="Times New Roman" w:cs="Times New Roman"/>
      <w:sz w:val="24"/>
      <w:szCs w:val="24"/>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2DB3"/>
    <w:rPr>
      <w:color w:val="0000FF"/>
      <w:u w:val="single"/>
    </w:rPr>
  </w:style>
  <w:style w:type="character" w:styleId="Strong">
    <w:name w:val="Strong"/>
    <w:basedOn w:val="DefaultParagraphFont"/>
    <w:uiPriority w:val="22"/>
    <w:qFormat/>
    <w:rsid w:val="00412DB3"/>
    <w:rPr>
      <w:b/>
      <w:bCs/>
    </w:rPr>
  </w:style>
  <w:style w:type="character" w:styleId="Emphasis">
    <w:name w:val="Emphasis"/>
    <w:basedOn w:val="DefaultParagraphFont"/>
    <w:uiPriority w:val="20"/>
    <w:qFormat/>
    <w:rsid w:val="00412DB3"/>
    <w:rPr>
      <w:i/>
      <w:iCs/>
    </w:rPr>
  </w:style>
  <w:style w:type="paragraph" w:customStyle="1" w:styleId="block1">
    <w:name w:val="block1"/>
    <w:basedOn w:val="Normal"/>
    <w:rsid w:val="00412DB3"/>
    <w:pPr>
      <w:spacing w:after="150"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9295">
      <w:bodyDiv w:val="1"/>
      <w:marLeft w:val="0"/>
      <w:marRight w:val="0"/>
      <w:marTop w:val="0"/>
      <w:marBottom w:val="0"/>
      <w:divBdr>
        <w:top w:val="none" w:sz="0" w:space="0" w:color="auto"/>
        <w:left w:val="none" w:sz="0" w:space="0" w:color="auto"/>
        <w:bottom w:val="none" w:sz="0" w:space="0" w:color="auto"/>
        <w:right w:val="none" w:sz="0" w:space="0" w:color="auto"/>
      </w:divBdr>
      <w:divsChild>
        <w:div w:id="1193229127">
          <w:marLeft w:val="0"/>
          <w:marRight w:val="0"/>
          <w:marTop w:val="0"/>
          <w:marBottom w:val="0"/>
          <w:divBdr>
            <w:top w:val="single" w:sz="2" w:space="0" w:color="333333"/>
            <w:left w:val="single" w:sz="6" w:space="0" w:color="333333"/>
            <w:bottom w:val="single" w:sz="2" w:space="0" w:color="333333"/>
            <w:right w:val="single" w:sz="6" w:space="0" w:color="333333"/>
          </w:divBdr>
          <w:divsChild>
            <w:div w:id="690182983">
              <w:marLeft w:val="0"/>
              <w:marRight w:val="0"/>
              <w:marTop w:val="0"/>
              <w:marBottom w:val="0"/>
              <w:divBdr>
                <w:top w:val="none" w:sz="0" w:space="0" w:color="auto"/>
                <w:left w:val="none" w:sz="0" w:space="0" w:color="auto"/>
                <w:bottom w:val="none" w:sz="0" w:space="0" w:color="auto"/>
                <w:right w:val="none" w:sz="0" w:space="0" w:color="auto"/>
              </w:divBdr>
              <w:divsChild>
                <w:div w:id="1608930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pls/oshaweb/owadisp.show_document?p_table=STANDARDS&amp;p_id=9735&amp;p_text_version=FAL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osha.gov/pls/oshaweb/owadisp.show_document?p_table=STANDARDS&amp;p_id=10625&amp;p_text_version=FAL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ha.gov/pls/oshaweb/owadisp.show_document?p_table=STANDARDS&amp;p_id=9735&amp;p_text_version=FALSE" TargetMode="External"/><Relationship Id="rId11" Type="http://schemas.openxmlformats.org/officeDocument/2006/relationships/hyperlink" Target="https://www.osha.gov/pls/oshaweb/owadisp.show_document?p_table=STANDARDS&amp;p_id=9737" TargetMode="External"/><Relationship Id="rId5" Type="http://schemas.openxmlformats.org/officeDocument/2006/relationships/webSettings" Target="webSettings.xml"/><Relationship Id="rId10" Type="http://schemas.openxmlformats.org/officeDocument/2006/relationships/hyperlink" Target="https://www.osha.gov/pls/oshaweb/owadisp.show_document?p_table=STANDARDS&amp;p_id=10625&amp;p_text_version=FALSE" TargetMode="External"/><Relationship Id="rId4" Type="http://schemas.openxmlformats.org/officeDocument/2006/relationships/settings" Target="settings.xml"/><Relationship Id="rId9" Type="http://schemas.openxmlformats.org/officeDocument/2006/relationships/hyperlink" Target="https://www.osha.gov/pls/oshaweb/owadisp.show_document?p_table=STANDARDS&amp;p_id=9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Coutts</dc:creator>
  <cp:lastModifiedBy>Dick Coutts</cp:lastModifiedBy>
  <cp:revision>2</cp:revision>
  <dcterms:created xsi:type="dcterms:W3CDTF">2014-07-25T07:22:00Z</dcterms:created>
  <dcterms:modified xsi:type="dcterms:W3CDTF">2014-07-25T07:22:00Z</dcterms:modified>
</cp:coreProperties>
</file>