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0C7" w:rsidRDefault="000F10C7" w:rsidP="00553AC1">
      <w:pPr>
        <w:pStyle w:val="Header"/>
        <w:tabs>
          <w:tab w:val="clear" w:pos="4153"/>
          <w:tab w:val="clear" w:pos="8306"/>
        </w:tabs>
        <w:jc w:val="left"/>
        <w:rPr>
          <w:rFonts w:ascii="Times New Roman" w:hAnsi="Times New Roman"/>
          <w:sz w:val="24"/>
          <w:szCs w:val="24"/>
          <w:u w:val="single"/>
        </w:rPr>
      </w:pPr>
      <w:r w:rsidRPr="000F10C7">
        <w:rPr>
          <w:rFonts w:ascii="Times New Roman" w:hAnsi="Times New Roman"/>
          <w:noProof/>
          <w:sz w:val="24"/>
          <w:szCs w:val="24"/>
          <w:u w:val="single"/>
          <w:lang w:val="en-US"/>
        </w:rPr>
        <w:drawing>
          <wp:anchor distT="0" distB="0" distL="114300" distR="114300" simplePos="0" relativeHeight="251659264" behindDoc="1" locked="0" layoutInCell="1" allowOverlap="1">
            <wp:simplePos x="0" y="0"/>
            <wp:positionH relativeFrom="column">
              <wp:posOffset>-100965</wp:posOffset>
            </wp:positionH>
            <wp:positionV relativeFrom="paragraph">
              <wp:posOffset>-283210</wp:posOffset>
            </wp:positionV>
            <wp:extent cx="6686550" cy="885825"/>
            <wp:effectExtent l="19050" t="0" r="0" b="0"/>
            <wp:wrapTight wrapText="bothSides">
              <wp:wrapPolygon edited="0">
                <wp:start x="1415" y="465"/>
                <wp:lineTo x="800" y="929"/>
                <wp:lineTo x="-62" y="5110"/>
                <wp:lineTo x="0" y="16723"/>
                <wp:lineTo x="862" y="20903"/>
                <wp:lineTo x="1169" y="20903"/>
                <wp:lineTo x="3138" y="20903"/>
                <wp:lineTo x="6831" y="20903"/>
                <wp:lineTo x="15569" y="17187"/>
                <wp:lineTo x="15508" y="15329"/>
                <wp:lineTo x="21292" y="12077"/>
                <wp:lineTo x="21600" y="12077"/>
                <wp:lineTo x="21354" y="7897"/>
                <wp:lineTo x="21477" y="5110"/>
                <wp:lineTo x="20000" y="4181"/>
                <wp:lineTo x="2708" y="465"/>
                <wp:lineTo x="1415" y="465"/>
              </wp:wrapPolygon>
            </wp:wrapTight>
            <wp:docPr id="1"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8"/>
                    <a:stretch>
                      <a:fillRect/>
                    </a:stretch>
                  </pic:blipFill>
                  <pic:spPr>
                    <a:xfrm>
                      <a:off x="0" y="0"/>
                      <a:ext cx="6686550" cy="885825"/>
                    </a:xfrm>
                    <a:prstGeom prst="rect">
                      <a:avLst/>
                    </a:prstGeom>
                  </pic:spPr>
                </pic:pic>
              </a:graphicData>
            </a:graphic>
          </wp:anchor>
        </w:drawing>
      </w:r>
    </w:p>
    <w:p w:rsidR="000F10C7" w:rsidRDefault="000F10C7" w:rsidP="00553AC1">
      <w:pPr>
        <w:pStyle w:val="Header"/>
        <w:tabs>
          <w:tab w:val="clear" w:pos="4153"/>
          <w:tab w:val="clear" w:pos="8306"/>
        </w:tabs>
        <w:jc w:val="left"/>
        <w:rPr>
          <w:rFonts w:ascii="Times New Roman" w:hAnsi="Times New Roman"/>
          <w:sz w:val="24"/>
          <w:szCs w:val="24"/>
          <w:u w:val="single"/>
        </w:rPr>
      </w:pPr>
    </w:p>
    <w:p w:rsidR="000F10C7" w:rsidRDefault="000F10C7" w:rsidP="00553AC1">
      <w:pPr>
        <w:pStyle w:val="Header"/>
        <w:tabs>
          <w:tab w:val="clear" w:pos="4153"/>
          <w:tab w:val="clear" w:pos="8306"/>
        </w:tabs>
        <w:jc w:val="left"/>
        <w:rPr>
          <w:rFonts w:ascii="Times New Roman" w:hAnsi="Times New Roman"/>
          <w:sz w:val="24"/>
          <w:szCs w:val="24"/>
          <w:u w:val="single"/>
        </w:rPr>
      </w:pPr>
    </w:p>
    <w:p w:rsidR="000F10C7" w:rsidRDefault="000F10C7" w:rsidP="00553AC1">
      <w:pPr>
        <w:pStyle w:val="Header"/>
        <w:tabs>
          <w:tab w:val="clear" w:pos="4153"/>
          <w:tab w:val="clear" w:pos="8306"/>
        </w:tabs>
        <w:jc w:val="left"/>
        <w:rPr>
          <w:rFonts w:ascii="Times New Roman" w:hAnsi="Times New Roman"/>
          <w:sz w:val="24"/>
          <w:szCs w:val="24"/>
          <w:u w:val="single"/>
        </w:rPr>
      </w:pPr>
    </w:p>
    <w:p w:rsidR="00553AC1" w:rsidRPr="00D977F6" w:rsidRDefault="00553AC1" w:rsidP="00D977F6">
      <w:pPr>
        <w:pStyle w:val="Header"/>
        <w:numPr>
          <w:ilvl w:val="0"/>
          <w:numId w:val="4"/>
        </w:numPr>
        <w:tabs>
          <w:tab w:val="clear" w:pos="4153"/>
          <w:tab w:val="clear" w:pos="8306"/>
        </w:tabs>
        <w:jc w:val="left"/>
        <w:rPr>
          <w:rFonts w:ascii="Times New Roman" w:hAnsi="Times New Roman"/>
          <w:sz w:val="24"/>
          <w:szCs w:val="24"/>
          <w:u w:val="single"/>
        </w:rPr>
      </w:pPr>
      <w:r w:rsidRPr="00D977F6">
        <w:rPr>
          <w:rFonts w:ascii="Times New Roman" w:hAnsi="Times New Roman"/>
          <w:sz w:val="24"/>
          <w:szCs w:val="24"/>
          <w:u w:val="single"/>
        </w:rPr>
        <w:t xml:space="preserve">Notes from Handbook </w:t>
      </w:r>
      <w:r w:rsidR="00F42A4D" w:rsidRPr="00D977F6">
        <w:rPr>
          <w:rFonts w:ascii="Times New Roman" w:hAnsi="Times New Roman"/>
          <w:sz w:val="24"/>
          <w:szCs w:val="24"/>
          <w:u w:val="single"/>
        </w:rPr>
        <w:t>Review W</w:t>
      </w:r>
      <w:r w:rsidRPr="00D977F6">
        <w:rPr>
          <w:rFonts w:ascii="Times New Roman" w:hAnsi="Times New Roman"/>
          <w:sz w:val="24"/>
          <w:szCs w:val="24"/>
          <w:u w:val="single"/>
        </w:rPr>
        <w:t>orkshop – 08 May 2013</w:t>
      </w:r>
    </w:p>
    <w:p w:rsidR="000F10C7" w:rsidRDefault="000F10C7" w:rsidP="00553AC1">
      <w:pPr>
        <w:pStyle w:val="Header"/>
        <w:tabs>
          <w:tab w:val="clear" w:pos="4153"/>
          <w:tab w:val="clear" w:pos="8306"/>
        </w:tabs>
        <w:jc w:val="left"/>
        <w:rPr>
          <w:rFonts w:ascii="Times New Roman" w:hAnsi="Times New Roman"/>
          <w:sz w:val="24"/>
          <w:szCs w:val="24"/>
          <w:u w:val="single"/>
        </w:rPr>
      </w:pPr>
    </w:p>
    <w:p w:rsidR="000F10C7" w:rsidRPr="000F10C7" w:rsidRDefault="000F10C7" w:rsidP="00553AC1">
      <w:pPr>
        <w:pStyle w:val="Header"/>
        <w:tabs>
          <w:tab w:val="clear" w:pos="4153"/>
          <w:tab w:val="clear" w:pos="8306"/>
        </w:tabs>
        <w:jc w:val="left"/>
        <w:rPr>
          <w:rFonts w:ascii="Times New Roman" w:hAnsi="Times New Roman"/>
          <w:sz w:val="24"/>
          <w:szCs w:val="24"/>
          <w:u w:val="single"/>
        </w:rPr>
        <w:sectPr w:rsidR="000F10C7" w:rsidRPr="000F10C7" w:rsidSect="00553AC1">
          <w:headerReference w:type="even" r:id="rId9"/>
          <w:headerReference w:type="default" r:id="rId10"/>
          <w:footerReference w:type="default" r:id="rId11"/>
          <w:headerReference w:type="first" r:id="rId12"/>
          <w:pgSz w:w="11906" w:h="16838" w:code="9"/>
          <w:pgMar w:top="851" w:right="1133" w:bottom="851" w:left="1134" w:header="567" w:footer="340" w:gutter="0"/>
          <w:cols w:space="708"/>
          <w:docGrid w:linePitch="360"/>
        </w:sectPr>
      </w:pPr>
    </w:p>
    <w:p w:rsidR="000F10C7" w:rsidRPr="000F10C7" w:rsidRDefault="000F10C7" w:rsidP="004A5A16">
      <w:pPr>
        <w:pBdr>
          <w:top w:val="single" w:sz="4" w:space="1" w:color="auto"/>
          <w:left w:val="single" w:sz="4" w:space="4" w:color="auto"/>
          <w:bottom w:val="single" w:sz="4" w:space="1" w:color="auto"/>
          <w:right w:val="single" w:sz="4" w:space="4" w:color="auto"/>
        </w:pBdr>
        <w:jc w:val="both"/>
        <w:rPr>
          <w:rFonts w:ascii="Times New Roman" w:hAnsi="Times New Roman"/>
          <w:sz w:val="24"/>
        </w:rPr>
      </w:pPr>
      <w:r w:rsidRPr="000F10C7">
        <w:rPr>
          <w:rFonts w:ascii="Times New Roman" w:hAnsi="Times New Roman"/>
          <w:b/>
          <w:sz w:val="24"/>
        </w:rPr>
        <w:lastRenderedPageBreak/>
        <w:t xml:space="preserve">Attendees: </w:t>
      </w:r>
      <w:r w:rsidRPr="000F10C7">
        <w:rPr>
          <w:rFonts w:ascii="Times New Roman" w:hAnsi="Times New Roman"/>
          <w:sz w:val="24"/>
        </w:rPr>
        <w:t>Messrs. Malatj</w:t>
      </w:r>
      <w:r w:rsidR="00D977F6">
        <w:rPr>
          <w:rFonts w:ascii="Times New Roman" w:hAnsi="Times New Roman"/>
          <w:sz w:val="24"/>
        </w:rPr>
        <w:t>i</w:t>
      </w:r>
      <w:r w:rsidRPr="000F10C7">
        <w:rPr>
          <w:rFonts w:ascii="Times New Roman" w:hAnsi="Times New Roman"/>
          <w:sz w:val="24"/>
        </w:rPr>
        <w:t xml:space="preserve">, Legodi, Van der Merwe, Coutts, Cronje, Adams, Pienaar, Gumede, Storbeck, Blomerus, </w:t>
      </w:r>
      <w:r w:rsidR="00D977F6">
        <w:rPr>
          <w:rFonts w:ascii="Times New Roman" w:hAnsi="Times New Roman"/>
          <w:sz w:val="24"/>
        </w:rPr>
        <w:t>de</w:t>
      </w:r>
      <w:r w:rsidRPr="000F10C7">
        <w:rPr>
          <w:rFonts w:ascii="Times New Roman" w:hAnsi="Times New Roman"/>
          <w:sz w:val="24"/>
        </w:rPr>
        <w:t xml:space="preserve"> Beer, Dr. Stewart and Ms Masilo.</w:t>
      </w:r>
    </w:p>
    <w:p w:rsidR="000F10C7" w:rsidRPr="000F10C7" w:rsidRDefault="000F10C7" w:rsidP="004A5A16">
      <w:pPr>
        <w:pBdr>
          <w:top w:val="single" w:sz="4" w:space="1" w:color="auto"/>
          <w:left w:val="single" w:sz="4" w:space="4" w:color="auto"/>
          <w:bottom w:val="single" w:sz="4" w:space="1" w:color="auto"/>
          <w:right w:val="single" w:sz="4" w:space="4" w:color="auto"/>
        </w:pBdr>
        <w:jc w:val="both"/>
        <w:rPr>
          <w:rFonts w:ascii="Times New Roman" w:hAnsi="Times New Roman"/>
          <w:sz w:val="24"/>
        </w:rPr>
      </w:pPr>
      <w:r w:rsidRPr="000F10C7">
        <w:rPr>
          <w:rFonts w:ascii="Times New Roman" w:hAnsi="Times New Roman"/>
          <w:b/>
          <w:sz w:val="24"/>
        </w:rPr>
        <w:t xml:space="preserve">Apologies: </w:t>
      </w:r>
      <w:r w:rsidRPr="000F10C7">
        <w:rPr>
          <w:rFonts w:ascii="Times New Roman" w:hAnsi="Times New Roman"/>
          <w:sz w:val="24"/>
        </w:rPr>
        <w:t>Dr. Audrey Banyini, Mr. Andre van Zyl</w:t>
      </w:r>
    </w:p>
    <w:p w:rsidR="000F10C7" w:rsidRDefault="000F10C7" w:rsidP="000F10C7">
      <w:pPr>
        <w:jc w:val="both"/>
      </w:pPr>
    </w:p>
    <w:p w:rsidR="000F10C7" w:rsidRPr="00D977F6" w:rsidRDefault="000F10C7" w:rsidP="000F10C7">
      <w:pPr>
        <w:pStyle w:val="Header"/>
        <w:jc w:val="left"/>
        <w:rPr>
          <w:rFonts w:ascii="Times New Roman" w:hAnsi="Times New Roman"/>
          <w:sz w:val="24"/>
          <w:szCs w:val="24"/>
        </w:rPr>
      </w:pPr>
      <w:r w:rsidRPr="00D977F6">
        <w:rPr>
          <w:rFonts w:ascii="Times New Roman" w:hAnsi="Times New Roman"/>
          <w:sz w:val="24"/>
          <w:szCs w:val="24"/>
        </w:rPr>
        <w:t xml:space="preserve">Comments from the Session: </w:t>
      </w:r>
    </w:p>
    <w:p w:rsidR="00F42A4D" w:rsidRDefault="00F42A4D" w:rsidP="000F10C7">
      <w:pPr>
        <w:pStyle w:val="Header"/>
        <w:jc w:val="left"/>
        <w:rPr>
          <w:rFonts w:ascii="Times New Roman" w:hAnsi="Times New Roman"/>
          <w:sz w:val="24"/>
          <w:szCs w:val="24"/>
        </w:rPr>
      </w:pPr>
    </w:p>
    <w:p w:rsidR="00553AC1" w:rsidRPr="00F42A4D" w:rsidRDefault="00553AC1" w:rsidP="00553AC1">
      <w:pPr>
        <w:pStyle w:val="Header"/>
        <w:tabs>
          <w:tab w:val="clear" w:pos="4153"/>
          <w:tab w:val="clear" w:pos="8306"/>
        </w:tabs>
        <w:spacing w:before="120" w:line="276" w:lineRule="auto"/>
        <w:jc w:val="both"/>
        <w:rPr>
          <w:rFonts w:ascii="Times New Roman" w:hAnsi="Times New Roman"/>
          <w:sz w:val="24"/>
          <w:szCs w:val="24"/>
        </w:rPr>
      </w:pPr>
      <w:r w:rsidRPr="00F42A4D">
        <w:rPr>
          <w:rFonts w:ascii="Times New Roman" w:hAnsi="Times New Roman"/>
          <w:sz w:val="24"/>
          <w:szCs w:val="24"/>
        </w:rPr>
        <w:t>Linked to Jose and Hlangabeza inputs</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b w:val="0"/>
          <w:sz w:val="24"/>
          <w:szCs w:val="24"/>
        </w:rPr>
      </w:pPr>
      <w:r w:rsidRPr="00F42A4D">
        <w:rPr>
          <w:rFonts w:ascii="Times New Roman" w:hAnsi="Times New Roman"/>
          <w:b w:val="0"/>
          <w:sz w:val="24"/>
          <w:szCs w:val="24"/>
        </w:rPr>
        <w:t>Arrange a separate meeting with noise team to consider the details of their concerns about both the M&amp;E Framework and the Adoption Process – Provide an updated copy of the M&amp;E Framework beforehand.</w:t>
      </w:r>
    </w:p>
    <w:p w:rsidR="00553AC1" w:rsidRPr="00F42A4D" w:rsidRDefault="00553AC1" w:rsidP="00553AC1">
      <w:pPr>
        <w:pStyle w:val="Header"/>
        <w:tabs>
          <w:tab w:val="clear" w:pos="4153"/>
          <w:tab w:val="clear" w:pos="8306"/>
        </w:tabs>
        <w:spacing w:before="120" w:line="276" w:lineRule="auto"/>
        <w:jc w:val="both"/>
        <w:rPr>
          <w:rFonts w:ascii="Times New Roman" w:hAnsi="Times New Roman"/>
          <w:sz w:val="24"/>
          <w:szCs w:val="24"/>
        </w:rPr>
      </w:pPr>
      <w:r w:rsidRPr="00F42A4D">
        <w:rPr>
          <w:rFonts w:ascii="Times New Roman" w:hAnsi="Times New Roman"/>
          <w:sz w:val="24"/>
          <w:szCs w:val="24"/>
        </w:rPr>
        <w:t>Linked to Kobus’ inputs</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sz w:val="24"/>
          <w:szCs w:val="24"/>
        </w:rPr>
      </w:pPr>
      <w:r w:rsidRPr="00F42A4D">
        <w:rPr>
          <w:rFonts w:ascii="Times New Roman" w:hAnsi="Times New Roman"/>
          <w:sz w:val="24"/>
          <w:szCs w:val="24"/>
        </w:rPr>
        <w:t xml:space="preserve">Voluntary adoption – effect of Mining Charter (KB point 1):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sz w:val="24"/>
          <w:szCs w:val="24"/>
        </w:rPr>
      </w:pPr>
      <w:r w:rsidRPr="00F42A4D">
        <w:rPr>
          <w:rFonts w:ascii="Times New Roman" w:hAnsi="Times New Roman"/>
          <w:b w:val="0"/>
          <w:sz w:val="24"/>
          <w:szCs w:val="24"/>
        </w:rPr>
        <w:t>Add text in Handbook to ensure that BC plan for Deciders adequately deals with the voluntary aspect of adoption vs the obligation in terms of the MHSA to investigate any / all leading practices.</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sz w:val="24"/>
          <w:szCs w:val="24"/>
        </w:rPr>
      </w:pPr>
      <w:r w:rsidRPr="00F42A4D">
        <w:rPr>
          <w:rFonts w:ascii="Times New Roman" w:hAnsi="Times New Roman"/>
          <w:b w:val="0"/>
          <w:sz w:val="24"/>
          <w:szCs w:val="24"/>
        </w:rPr>
        <w:t>Relevant handbook areas for consideration include: Development of BC plans for deciders – Expert model – Development of direct enquiry protocol – Selection of stakeholders for direct enquiries – Invitations to Leading Practice Adoption Workshop</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b w:val="0"/>
          <w:sz w:val="24"/>
          <w:szCs w:val="24"/>
        </w:rPr>
      </w:pPr>
      <w:r w:rsidRPr="00F42A4D">
        <w:rPr>
          <w:rFonts w:ascii="Times New Roman" w:hAnsi="Times New Roman"/>
          <w:sz w:val="24"/>
          <w:szCs w:val="24"/>
        </w:rPr>
        <w:t>Culture transformation (KB point 2):</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Need to investigate what Sizwe is doing about culture transformation to identify any gaps or misalignments.</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 xml:space="preserve">Agree / ensure that key generic elements of BC and LB plans form part of what he advocates. </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sz w:val="24"/>
          <w:szCs w:val="24"/>
        </w:rPr>
      </w:pPr>
      <w:r w:rsidRPr="00F42A4D">
        <w:rPr>
          <w:rFonts w:ascii="Times New Roman" w:hAnsi="Times New Roman"/>
          <w:sz w:val="24"/>
          <w:szCs w:val="24"/>
        </w:rPr>
        <w:t xml:space="preserve">Communication needed with manager level persons on all mines (KB point 3):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Need to make all managers on mines more aware about the adoption process</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The need for a strategic approach to such communication needs to be brought out more clearly in the Handbook.</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sz w:val="24"/>
          <w:szCs w:val="24"/>
        </w:rPr>
      </w:pPr>
      <w:r w:rsidRPr="00F42A4D">
        <w:rPr>
          <w:rFonts w:ascii="Times New Roman" w:hAnsi="Times New Roman"/>
          <w:sz w:val="24"/>
          <w:szCs w:val="24"/>
        </w:rPr>
        <w:t xml:space="preserve">Task Force responsibilities (KB point 3):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Need to revamp the Task Force responsibilities and to include the role of Group Adoption Coordinator as a responsibility of the Group’s Task Force member.</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sz w:val="24"/>
          <w:szCs w:val="24"/>
        </w:rPr>
      </w:pPr>
      <w:r w:rsidRPr="00F42A4D">
        <w:rPr>
          <w:rFonts w:ascii="Times New Roman" w:hAnsi="Times New Roman"/>
          <w:sz w:val="24"/>
          <w:szCs w:val="24"/>
        </w:rPr>
        <w:t xml:space="preserve">Better use of Group Structures (KB point 3): </w:t>
      </w:r>
    </w:p>
    <w:p w:rsidR="00D977F6" w:rsidRPr="00D977F6" w:rsidRDefault="00553AC1" w:rsidP="00D977F6">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lastRenderedPageBreak/>
        <w:t xml:space="preserve">Need to include in handbook how/that available group capacity/structures can be better used eg: communication / training / other? (Material produced at lead adopter or other mines should be made available to others / better use of group capacity in producing material for use within the group, etc) </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sz w:val="24"/>
          <w:szCs w:val="24"/>
        </w:rPr>
      </w:pPr>
      <w:r w:rsidRPr="00F42A4D">
        <w:rPr>
          <w:rFonts w:ascii="Times New Roman" w:hAnsi="Times New Roman"/>
          <w:sz w:val="24"/>
          <w:szCs w:val="24"/>
        </w:rPr>
        <w:t xml:space="preserve">Clarify monitoring role of teams (KB point 5):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 xml:space="preserve">Bring out the team members limited data collection responsibilities when writing the new handbook section on monitoring and evaluation.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 xml:space="preserve">Highlight their responsibility in facilitating/ensuring that appropriate monitoring arrangements are set up at mines when adopting a leading practice.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Bring out the importance ad hoc investigations needed by the teams in their analysis of OHS data as part of their risk assessment and planning work, and their need to have access to external capacity at such times</w:t>
      </w:r>
      <w:r w:rsidR="00F42A4D">
        <w:rPr>
          <w:rFonts w:ascii="Times New Roman" w:hAnsi="Times New Roman"/>
          <w:b w:val="0"/>
          <w:sz w:val="24"/>
          <w:szCs w:val="24"/>
        </w:rPr>
        <w:t xml:space="preserve"> </w:t>
      </w:r>
      <w:r w:rsidRPr="00F42A4D">
        <w:rPr>
          <w:rFonts w:ascii="Times New Roman" w:hAnsi="Times New Roman"/>
          <w:b w:val="0"/>
          <w:sz w:val="24"/>
          <w:szCs w:val="24"/>
        </w:rPr>
        <w:t>(specialist service provider / university lecturers / etc).</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sz w:val="24"/>
          <w:szCs w:val="24"/>
        </w:rPr>
      </w:pPr>
      <w:r w:rsidRPr="00F42A4D">
        <w:rPr>
          <w:rFonts w:ascii="Times New Roman" w:hAnsi="Times New Roman"/>
          <w:sz w:val="24"/>
          <w:szCs w:val="24"/>
        </w:rPr>
        <w:t>Expert model / risk assessment methodology (KB point 6):</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Check handbook section 3.5 to ensure that the difference between the broad risk area of the adoption team and the focus on a more limited risk area at particular times is adequately brought out / handled.</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Sharing of adoption team experience in developing expert models of risk should be more actively encouraged.</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b w:val="0"/>
          <w:sz w:val="24"/>
          <w:szCs w:val="24"/>
        </w:rPr>
      </w:pPr>
      <w:r w:rsidRPr="00F42A4D">
        <w:rPr>
          <w:rFonts w:ascii="Times New Roman" w:hAnsi="Times New Roman"/>
          <w:sz w:val="24"/>
          <w:szCs w:val="24"/>
        </w:rPr>
        <w:t xml:space="preserve">Value case (KB point 7):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 xml:space="preserve">Need to redo aspects of the section on the value case to ensure that teams do not strive for a financial business case down to the last cent.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Investigate the production of a simpler and more flexible template that allows the value considerations to be more effectively presented.</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sz w:val="24"/>
          <w:szCs w:val="24"/>
        </w:rPr>
      </w:pPr>
      <w:r w:rsidRPr="00F42A4D">
        <w:rPr>
          <w:rFonts w:ascii="Times New Roman" w:hAnsi="Times New Roman"/>
          <w:sz w:val="24"/>
          <w:szCs w:val="24"/>
        </w:rPr>
        <w:t xml:space="preserve">Selection of adoption teams </w:t>
      </w:r>
      <w:bookmarkStart w:id="0" w:name="_GoBack"/>
      <w:bookmarkEnd w:id="0"/>
      <w:r w:rsidRPr="00F42A4D">
        <w:rPr>
          <w:rFonts w:ascii="Times New Roman" w:hAnsi="Times New Roman"/>
          <w:sz w:val="24"/>
          <w:szCs w:val="24"/>
        </w:rPr>
        <w:t xml:space="preserve">and planning workshop participants (KB point 8):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Investigate whether the present guidance can be made simpler – members are to put forward suggestions.</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sz w:val="24"/>
          <w:szCs w:val="24"/>
        </w:rPr>
      </w:pPr>
      <w:r w:rsidRPr="00F42A4D">
        <w:rPr>
          <w:rFonts w:ascii="Times New Roman" w:hAnsi="Times New Roman"/>
          <w:sz w:val="24"/>
          <w:szCs w:val="24"/>
        </w:rPr>
        <w:t>(KB points 9 and 10):</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 xml:space="preserve">The issues raised in these two points have are already been dealt with in the updated version of the Handbook.  </w:t>
      </w:r>
    </w:p>
    <w:p w:rsidR="00553AC1" w:rsidRPr="000F10C7" w:rsidRDefault="00553AC1" w:rsidP="00553AC1">
      <w:pPr>
        <w:pStyle w:val="Header"/>
        <w:tabs>
          <w:tab w:val="clear" w:pos="4153"/>
          <w:tab w:val="clear" w:pos="8306"/>
        </w:tabs>
        <w:spacing w:before="120" w:line="276" w:lineRule="auto"/>
        <w:ind w:left="709"/>
        <w:jc w:val="both"/>
        <w:rPr>
          <w:rFonts w:ascii="Times New Roman" w:hAnsi="Times New Roman"/>
          <w:b w:val="0"/>
          <w:sz w:val="24"/>
          <w:szCs w:val="24"/>
        </w:rPr>
      </w:pPr>
    </w:p>
    <w:p w:rsidR="00553AC1" w:rsidRDefault="00553AC1" w:rsidP="00D977F6">
      <w:pPr>
        <w:pStyle w:val="Header"/>
        <w:numPr>
          <w:ilvl w:val="0"/>
          <w:numId w:val="4"/>
        </w:numPr>
        <w:tabs>
          <w:tab w:val="clear" w:pos="4153"/>
          <w:tab w:val="clear" w:pos="8306"/>
        </w:tabs>
        <w:jc w:val="left"/>
        <w:rPr>
          <w:rFonts w:ascii="Times New Roman" w:hAnsi="Times New Roman"/>
          <w:sz w:val="24"/>
          <w:szCs w:val="24"/>
          <w:u w:val="single"/>
        </w:rPr>
      </w:pPr>
      <w:r w:rsidRPr="000F10C7">
        <w:rPr>
          <w:rFonts w:ascii="Times New Roman" w:hAnsi="Times New Roman"/>
          <w:sz w:val="24"/>
          <w:szCs w:val="24"/>
          <w:u w:val="single"/>
        </w:rPr>
        <w:t>Notes from Handbook Review workshop – 29</w:t>
      </w:r>
      <w:r w:rsidRPr="000F10C7">
        <w:rPr>
          <w:rFonts w:ascii="Times New Roman" w:hAnsi="Times New Roman"/>
          <w:sz w:val="24"/>
          <w:szCs w:val="24"/>
          <w:u w:val="single"/>
          <w:vertAlign w:val="superscript"/>
        </w:rPr>
        <w:t>th</w:t>
      </w:r>
      <w:r w:rsidRPr="000F10C7">
        <w:rPr>
          <w:rFonts w:ascii="Times New Roman" w:hAnsi="Times New Roman"/>
          <w:sz w:val="24"/>
          <w:szCs w:val="24"/>
          <w:u w:val="single"/>
        </w:rPr>
        <w:t xml:space="preserve"> of May 2013</w:t>
      </w:r>
    </w:p>
    <w:p w:rsidR="000F10C7" w:rsidRDefault="000F10C7" w:rsidP="00553AC1">
      <w:pPr>
        <w:pStyle w:val="Header"/>
        <w:tabs>
          <w:tab w:val="clear" w:pos="4153"/>
          <w:tab w:val="clear" w:pos="8306"/>
        </w:tabs>
        <w:jc w:val="left"/>
        <w:rPr>
          <w:rFonts w:ascii="Times New Roman" w:hAnsi="Times New Roman"/>
          <w:sz w:val="24"/>
          <w:szCs w:val="24"/>
          <w:u w:val="single"/>
        </w:rPr>
      </w:pPr>
    </w:p>
    <w:p w:rsidR="00D977F6" w:rsidRPr="000F10C7" w:rsidRDefault="00D977F6" w:rsidP="004A5A16">
      <w:pPr>
        <w:pBdr>
          <w:top w:val="single" w:sz="4" w:space="1" w:color="auto"/>
          <w:left w:val="single" w:sz="4" w:space="4" w:color="auto"/>
          <w:bottom w:val="single" w:sz="4" w:space="1" w:color="auto"/>
          <w:right w:val="single" w:sz="4" w:space="4" w:color="auto"/>
        </w:pBdr>
        <w:jc w:val="both"/>
        <w:rPr>
          <w:rFonts w:ascii="Times New Roman" w:hAnsi="Times New Roman"/>
          <w:sz w:val="24"/>
        </w:rPr>
      </w:pPr>
      <w:r w:rsidRPr="000F10C7">
        <w:rPr>
          <w:rFonts w:ascii="Times New Roman" w:hAnsi="Times New Roman"/>
          <w:b/>
          <w:sz w:val="24"/>
        </w:rPr>
        <w:t xml:space="preserve">Attendees: </w:t>
      </w:r>
      <w:r w:rsidRPr="000F10C7">
        <w:rPr>
          <w:rFonts w:ascii="Times New Roman" w:hAnsi="Times New Roman"/>
          <w:sz w:val="24"/>
        </w:rPr>
        <w:t>Messrs. Malatj</w:t>
      </w:r>
      <w:r>
        <w:rPr>
          <w:rFonts w:ascii="Times New Roman" w:hAnsi="Times New Roman"/>
          <w:sz w:val="24"/>
        </w:rPr>
        <w:t>i</w:t>
      </w:r>
      <w:r w:rsidRPr="000F10C7">
        <w:rPr>
          <w:rFonts w:ascii="Times New Roman" w:hAnsi="Times New Roman"/>
          <w:sz w:val="24"/>
        </w:rPr>
        <w:t>, Legodi, Van der Merwe, Coutts, Cronje, Adams, Pienaar, Gumede, Storbeck, Blomerus</w:t>
      </w:r>
      <w:r>
        <w:rPr>
          <w:rFonts w:ascii="Times New Roman" w:hAnsi="Times New Roman"/>
          <w:sz w:val="24"/>
        </w:rPr>
        <w:t>, de</w:t>
      </w:r>
      <w:r w:rsidRPr="000F10C7">
        <w:rPr>
          <w:rFonts w:ascii="Times New Roman" w:hAnsi="Times New Roman"/>
          <w:sz w:val="24"/>
        </w:rPr>
        <w:t xml:space="preserve"> Beer, Dr. Stewart and Ms Masilo.</w:t>
      </w:r>
      <w:r w:rsidRPr="00D977F6">
        <w:rPr>
          <w:rFonts w:ascii="Times New Roman" w:hAnsi="Times New Roman"/>
          <w:sz w:val="24"/>
        </w:rPr>
        <w:t xml:space="preserve"> </w:t>
      </w:r>
      <w:r w:rsidRPr="000F10C7">
        <w:rPr>
          <w:rFonts w:ascii="Times New Roman" w:hAnsi="Times New Roman"/>
          <w:sz w:val="24"/>
        </w:rPr>
        <w:t>Dr. Audrey Banyini</w:t>
      </w:r>
    </w:p>
    <w:p w:rsidR="00D977F6" w:rsidRPr="000F10C7" w:rsidRDefault="00D977F6" w:rsidP="004A5A16">
      <w:pPr>
        <w:pBdr>
          <w:top w:val="single" w:sz="4" w:space="1" w:color="auto"/>
          <w:left w:val="single" w:sz="4" w:space="4" w:color="auto"/>
          <w:bottom w:val="single" w:sz="4" w:space="1" w:color="auto"/>
          <w:right w:val="single" w:sz="4" w:space="4" w:color="auto"/>
        </w:pBdr>
        <w:jc w:val="both"/>
        <w:rPr>
          <w:rFonts w:ascii="Times New Roman" w:hAnsi="Times New Roman"/>
          <w:sz w:val="24"/>
        </w:rPr>
      </w:pPr>
      <w:r w:rsidRPr="000F10C7">
        <w:rPr>
          <w:rFonts w:ascii="Times New Roman" w:hAnsi="Times New Roman"/>
          <w:b/>
          <w:sz w:val="24"/>
        </w:rPr>
        <w:t>Apologies:</w:t>
      </w:r>
      <w:r w:rsidRPr="000F10C7">
        <w:rPr>
          <w:rFonts w:ascii="Times New Roman" w:hAnsi="Times New Roman"/>
          <w:sz w:val="24"/>
        </w:rPr>
        <w:t>, Mr. Andre van Zyl</w:t>
      </w:r>
    </w:p>
    <w:p w:rsidR="000F10C7" w:rsidRPr="000F10C7" w:rsidRDefault="000F10C7" w:rsidP="004A5A16">
      <w:pPr>
        <w:pStyle w:val="Header"/>
        <w:pBdr>
          <w:top w:val="single" w:sz="4" w:space="1" w:color="auto"/>
          <w:left w:val="single" w:sz="4" w:space="4" w:color="auto"/>
          <w:bottom w:val="single" w:sz="4" w:space="1" w:color="auto"/>
          <w:right w:val="single" w:sz="4" w:space="4" w:color="auto"/>
        </w:pBdr>
        <w:tabs>
          <w:tab w:val="clear" w:pos="4153"/>
          <w:tab w:val="clear" w:pos="8306"/>
        </w:tabs>
        <w:jc w:val="left"/>
        <w:rPr>
          <w:rFonts w:ascii="Times New Roman" w:hAnsi="Times New Roman"/>
          <w:sz w:val="24"/>
          <w:szCs w:val="24"/>
          <w:u w:val="single"/>
        </w:rPr>
        <w:sectPr w:rsidR="000F10C7" w:rsidRPr="000F10C7" w:rsidSect="00553AC1">
          <w:headerReference w:type="even" r:id="rId13"/>
          <w:headerReference w:type="default" r:id="rId14"/>
          <w:footerReference w:type="default" r:id="rId15"/>
          <w:headerReference w:type="first" r:id="rId16"/>
          <w:type w:val="continuous"/>
          <w:pgSz w:w="11906" w:h="16838" w:code="9"/>
          <w:pgMar w:top="851" w:right="2186" w:bottom="851" w:left="1134" w:header="567" w:footer="340" w:gutter="0"/>
          <w:cols w:space="708"/>
          <w:docGrid w:linePitch="360"/>
        </w:sectPr>
      </w:pPr>
    </w:p>
    <w:p w:rsidR="00786508" w:rsidRDefault="00786508" w:rsidP="00786508">
      <w:pPr>
        <w:pStyle w:val="Header"/>
        <w:tabs>
          <w:tab w:val="clear" w:pos="4153"/>
          <w:tab w:val="clear" w:pos="8306"/>
        </w:tabs>
        <w:spacing w:before="120" w:line="312" w:lineRule="auto"/>
        <w:ind w:left="284"/>
        <w:jc w:val="both"/>
        <w:rPr>
          <w:rFonts w:ascii="Times New Roman" w:hAnsi="Times New Roman"/>
          <w:b w:val="0"/>
          <w:sz w:val="24"/>
          <w:szCs w:val="24"/>
        </w:rPr>
      </w:pPr>
    </w:p>
    <w:p w:rsidR="00786508" w:rsidRDefault="00786508" w:rsidP="00786508">
      <w:pPr>
        <w:pStyle w:val="Header"/>
        <w:tabs>
          <w:tab w:val="clear" w:pos="4153"/>
          <w:tab w:val="clear" w:pos="8306"/>
        </w:tabs>
        <w:spacing w:before="120" w:line="312" w:lineRule="auto"/>
        <w:ind w:left="284"/>
        <w:jc w:val="both"/>
        <w:rPr>
          <w:rFonts w:ascii="Times New Roman" w:hAnsi="Times New Roman"/>
          <w:b w:val="0"/>
          <w:sz w:val="24"/>
          <w:szCs w:val="24"/>
        </w:rPr>
      </w:pPr>
    </w:p>
    <w:p w:rsidR="00786508" w:rsidRPr="00D977F6" w:rsidRDefault="00786508" w:rsidP="00786508">
      <w:pPr>
        <w:pStyle w:val="Header"/>
        <w:jc w:val="left"/>
        <w:rPr>
          <w:rFonts w:ascii="Times New Roman" w:hAnsi="Times New Roman"/>
          <w:sz w:val="24"/>
          <w:szCs w:val="24"/>
        </w:rPr>
      </w:pPr>
      <w:r w:rsidRPr="00D977F6">
        <w:rPr>
          <w:rFonts w:ascii="Times New Roman" w:hAnsi="Times New Roman"/>
          <w:sz w:val="24"/>
          <w:szCs w:val="24"/>
        </w:rPr>
        <w:lastRenderedPageBreak/>
        <w:t xml:space="preserve">Comments from the Session: </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Time to comment on LPAG at COPA following adoption workshop is too short – need to allow time to work through LPAG at more than just one COPA meeting. Update diagram and handbook content accordingly</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 xml:space="preserve">The overall adoption process outlined in section 3.1, particularly the diagram showing the 3 and 4 phase processes, should be updated to more clearly bring out both the similarity and important difference between the two approaches. </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Need to include a step in the process of facilitating adoption at mines to test whether the contents of the LPAG have been assimilated and understood.</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The Task Force needs to more actively help identify lead adopter / demonstration mines – this should be brought out in the handbook. (It was initially suggested that they should actually decide which mine should be the lead adopter / demonstration mine, but this was reduced to them helping to identify the mine in their Group best suited for this role.)</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Need to ensure that the key persons at Mining Company / Group level are included as key persons / recipients in the behavioural communication plan developed and implemented for Deciders.</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The development of capacity at adoption mines for customising behavioural plans needs to be considered in more detail – the scope for training to be provided through the COPA needs to be brought out. (At the Strategic Communications workshop on 31 May it was agreed that training for the Mine Adoption Team Manager, the Behavioural Plans Overseer and the direct enquiry interviewers at adoption mines could be provided by the Behavioural Specialist.) The content of the Handbook and the Example LPAG needs to be updated to appropriately reflect this.</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With a view to adoption teams learning from each other about how the customisation of behavioural plans at adoption mines has been handled to date, it was agreed that teams should exchange examples of the successfully customised behavioural plans – check whether this can be reflected in the handbook points dealing with teams learning from each other.</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The need for, and the benefit of developing an expert model of the risk situation should be more clearly brought out in section 3.5, and there could be merit in bringing out the difference between the usual risk assessment process conducted on mines and the expert model / causal chain risk summary table.</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The handbook should be updated to advocate that the adoption teams request mine adoption teams to show / submit something tangible to clearly indicate successful completion of the various adoption steps – this is considered necessary to address the concern that mines are not properly executing the steps they say they have successfully completed.</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lastRenderedPageBreak/>
        <w:t>The guidance on operating an effective COPA needs to include a requirement to periodically assess whether OHS in the area of the Leading Practice has possibly regressed. Guidance should also be provided on the design and implementation of an appropriate mitigation strategy / action.</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Need to place greater emphasis on the value of identifying leading practices that have a significant impact at a systems level, as opposed to practices that have a significant impact but at lower level in respect of a very specific risk / problem. The relevant sections in the Handbook need to bring this out.</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 xml:space="preserve">Update the SLP Review Process to include a mine visit by the review panel to view the potential SLP where appropriate. </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Need to check the sense of the questions in worksheet 15.1 about the inclusion of a demonstration phase. Need to ensure that there is clarity about what is required.</w:t>
      </w:r>
    </w:p>
    <w:p w:rsidR="00553AC1" w:rsidRPr="000F10C7" w:rsidRDefault="00553AC1" w:rsidP="00553AC1">
      <w:pPr>
        <w:pStyle w:val="Header"/>
        <w:tabs>
          <w:tab w:val="clear" w:pos="4153"/>
          <w:tab w:val="clear" w:pos="8306"/>
        </w:tabs>
        <w:spacing w:before="120" w:line="312" w:lineRule="auto"/>
        <w:jc w:val="both"/>
        <w:rPr>
          <w:rFonts w:ascii="Times New Roman" w:hAnsi="Times New Roman"/>
          <w:b w:val="0"/>
          <w:sz w:val="24"/>
          <w:szCs w:val="24"/>
        </w:rPr>
      </w:pPr>
      <w:r w:rsidRPr="000F10C7">
        <w:rPr>
          <w:rFonts w:ascii="Times New Roman" w:hAnsi="Times New Roman"/>
          <w:sz w:val="24"/>
          <w:szCs w:val="24"/>
        </w:rPr>
        <w:t>Note:</w:t>
      </w:r>
      <w:r w:rsidRPr="000F10C7">
        <w:rPr>
          <w:rFonts w:ascii="Times New Roman" w:hAnsi="Times New Roman"/>
          <w:b w:val="0"/>
          <w:sz w:val="24"/>
          <w:szCs w:val="24"/>
        </w:rPr>
        <w:t xml:space="preserve"> It was agreed that a complete PDF version of the LPAG be circulated along with a brief document containing the five key pages envisaged to be placed at the front of the LPAG. It was also agreed that separate meetings be held with the Noise and Dust Adoption teams to discuss their team specific issues before arranging a follow up meeting to complete the present handbook review process. And, Danie to share the monitoring scorecard used for tracking progress on adoption of the PDS.</w:t>
      </w:r>
    </w:p>
    <w:p w:rsidR="00553AC1" w:rsidRPr="000F10C7" w:rsidRDefault="00553AC1" w:rsidP="00553AC1">
      <w:pPr>
        <w:pStyle w:val="Header"/>
        <w:tabs>
          <w:tab w:val="clear" w:pos="4153"/>
          <w:tab w:val="clear" w:pos="8306"/>
        </w:tabs>
        <w:spacing w:before="120" w:line="276" w:lineRule="auto"/>
        <w:jc w:val="both"/>
        <w:rPr>
          <w:rFonts w:ascii="Times New Roman" w:hAnsi="Times New Roman"/>
          <w:b w:val="0"/>
          <w:sz w:val="24"/>
          <w:szCs w:val="24"/>
        </w:rPr>
      </w:pPr>
    </w:p>
    <w:sectPr w:rsidR="00553AC1" w:rsidRPr="000F10C7" w:rsidSect="00553AC1">
      <w:type w:val="continuous"/>
      <w:pgSz w:w="11906" w:h="16838" w:code="9"/>
      <w:pgMar w:top="851" w:right="2186" w:bottom="851" w:left="1134" w:header="567"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4B8" w:rsidRDefault="000764B8" w:rsidP="00553AC1">
      <w:pPr>
        <w:spacing w:before="0" w:line="240" w:lineRule="auto"/>
      </w:pPr>
      <w:r>
        <w:separator/>
      </w:r>
    </w:p>
  </w:endnote>
  <w:endnote w:type="continuationSeparator" w:id="1">
    <w:p w:rsidR="000764B8" w:rsidRDefault="000764B8" w:rsidP="00553AC1">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E99" w:rsidRDefault="00EB4FAD" w:rsidP="004A39FC">
    <w:pPr>
      <w:pStyle w:val="Footer"/>
      <w:tabs>
        <w:tab w:val="clear" w:pos="8306"/>
        <w:tab w:val="right" w:pos="9923"/>
      </w:tabs>
      <w:ind w:right="-284"/>
      <w:rPr>
        <w:sz w:val="16"/>
      </w:rPr>
    </w:pPr>
    <w:r>
      <w:rPr>
        <w:sz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2242"/>
      <w:docPartObj>
        <w:docPartGallery w:val="Page Numbers (Bottom of Page)"/>
        <w:docPartUnique/>
      </w:docPartObj>
    </w:sdtPr>
    <w:sdtContent>
      <w:p w:rsidR="00553AC1" w:rsidRDefault="00DF0D7D">
        <w:pPr>
          <w:pStyle w:val="Footer"/>
          <w:jc w:val="right"/>
        </w:pPr>
        <w:fldSimple w:instr=" PAGE   \* MERGEFORMAT ">
          <w:r w:rsidR="00786508">
            <w:rPr>
              <w:noProof/>
            </w:rPr>
            <w:t>4</w:t>
          </w:r>
        </w:fldSimple>
      </w:p>
    </w:sdtContent>
  </w:sdt>
  <w:p w:rsidR="00553AC1" w:rsidRDefault="00553AC1" w:rsidP="004A39FC">
    <w:pPr>
      <w:pStyle w:val="Footer"/>
      <w:tabs>
        <w:tab w:val="clear" w:pos="8306"/>
        <w:tab w:val="right" w:pos="9923"/>
      </w:tabs>
      <w:ind w:right="-284"/>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4B8" w:rsidRDefault="000764B8" w:rsidP="00553AC1">
      <w:pPr>
        <w:spacing w:before="0" w:line="240" w:lineRule="auto"/>
      </w:pPr>
      <w:r>
        <w:separator/>
      </w:r>
    </w:p>
  </w:footnote>
  <w:footnote w:type="continuationSeparator" w:id="1">
    <w:p w:rsidR="000764B8" w:rsidRDefault="000764B8" w:rsidP="00553AC1">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E99" w:rsidRDefault="00DF0D7D">
    <w:pPr>
      <w:pStyle w:val="Header"/>
    </w:pPr>
    <w:r w:rsidRPr="00DF0D7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1" type="#_x0000_t136" style="position:absolute;left:0;text-align:left;margin-left:0;margin-top:0;width:465.05pt;height:174.35pt;rotation:315;z-index:-251654144;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E99" w:rsidRPr="006544C4" w:rsidRDefault="00DF0D7D" w:rsidP="006544C4">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13.5pt;margin-top:310.75pt;width:448.3pt;height:135pt;rotation:-2626574fd;z-index:-251653120" fillcolor="#f2f2f2 [3052]" strokecolor="#ddd">
          <v:fill opacity="62259f"/>
          <v:stroke opacity="64225f"/>
          <v:shadow color="#868686"/>
          <v:textpath style="font-family:&quot;Arial Black&quot;;v-text-kern:t" trim="t" fitpath="t" string="DRAFT"/>
          <w10:wrap side="lef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E99" w:rsidRDefault="00DF0D7D">
    <w:pPr>
      <w:pStyle w:val="Header"/>
    </w:pPr>
    <w:r w:rsidRPr="00DF0D7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style="position:absolute;left:0;text-align:left;margin-left:0;margin-top:0;width:465.05pt;height:174.35pt;rotation:315;z-index:-251655168;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AC1" w:rsidRDefault="00DF0D7D">
    <w:pPr>
      <w:pStyle w:val="Header"/>
    </w:pPr>
    <w:r w:rsidRPr="00DF0D7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left:0;text-align:left;margin-left:0;margin-top:0;width:465.05pt;height:174.35pt;rotation:315;z-index:-251650048;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AC1" w:rsidRPr="006544C4" w:rsidRDefault="00DF0D7D" w:rsidP="006544C4">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13.5pt;margin-top:310.75pt;width:448.3pt;height:135pt;rotation:-2626574fd;z-index:-251649024" fillcolor="#f2f2f2 [3052]" strokecolor="#ddd">
          <v:fill opacity="62259f"/>
          <v:stroke opacity="64225f"/>
          <v:shadow color="#868686"/>
          <v:textpath style="font-family:&quot;Arial Black&quot;;v-text-kern:t" trim="t" fitpath="t" string="DRAFT"/>
          <w10:wrap side="left"/>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AC1" w:rsidRDefault="00DF0D7D">
    <w:pPr>
      <w:pStyle w:val="Header"/>
    </w:pPr>
    <w:r w:rsidRPr="00DF0D7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left:0;text-align:left;margin-left:0;margin-top:0;width:465.05pt;height:174.35pt;rotation:315;z-index:-251651072;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910E02"/>
    <w:multiLevelType w:val="hybridMultilevel"/>
    <w:tmpl w:val="5DCCB162"/>
    <w:lvl w:ilvl="0" w:tplc="37A2AC80">
      <w:start w:val="1"/>
      <w:numFmt w:val="decimal"/>
      <w:lvlText w:val="%1."/>
      <w:lvlJc w:val="left"/>
      <w:pPr>
        <w:ind w:left="720" w:hanging="360"/>
      </w:pPr>
      <w:rPr>
        <w:rFonts w:ascii="Arial" w:hAnsi="Arial" w:hint="default"/>
        <w:b/>
        <w:i w:val="0"/>
        <w:sz w:val="16"/>
      </w:rPr>
    </w:lvl>
    <w:lvl w:ilvl="1" w:tplc="1C090001">
      <w:start w:val="1"/>
      <w:numFmt w:val="bullet"/>
      <w:lvlText w:val=""/>
      <w:lvlJc w:val="left"/>
      <w:pPr>
        <w:ind w:left="1440" w:hanging="360"/>
      </w:pPr>
      <w:rPr>
        <w:rFonts w:ascii="Symbol" w:hAnsi="Symbo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3CA55187"/>
    <w:multiLevelType w:val="hybridMultilevel"/>
    <w:tmpl w:val="CC184E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B40B4E"/>
    <w:multiLevelType w:val="hybridMultilevel"/>
    <w:tmpl w:val="D632CA24"/>
    <w:lvl w:ilvl="0" w:tplc="1C09000F">
      <w:start w:val="1"/>
      <w:numFmt w:val="decimal"/>
      <w:lvlText w:val="%1."/>
      <w:lvlJc w:val="left"/>
      <w:pPr>
        <w:ind w:left="924" w:hanging="360"/>
      </w:pPr>
    </w:lvl>
    <w:lvl w:ilvl="1" w:tplc="1C090019" w:tentative="1">
      <w:start w:val="1"/>
      <w:numFmt w:val="lowerLetter"/>
      <w:lvlText w:val="%2."/>
      <w:lvlJc w:val="left"/>
      <w:pPr>
        <w:ind w:left="1644" w:hanging="360"/>
      </w:pPr>
    </w:lvl>
    <w:lvl w:ilvl="2" w:tplc="1C09001B" w:tentative="1">
      <w:start w:val="1"/>
      <w:numFmt w:val="lowerRoman"/>
      <w:lvlText w:val="%3."/>
      <w:lvlJc w:val="right"/>
      <w:pPr>
        <w:ind w:left="2364" w:hanging="180"/>
      </w:pPr>
    </w:lvl>
    <w:lvl w:ilvl="3" w:tplc="1C09000F" w:tentative="1">
      <w:start w:val="1"/>
      <w:numFmt w:val="decimal"/>
      <w:lvlText w:val="%4."/>
      <w:lvlJc w:val="left"/>
      <w:pPr>
        <w:ind w:left="3084" w:hanging="360"/>
      </w:pPr>
    </w:lvl>
    <w:lvl w:ilvl="4" w:tplc="1C090019" w:tentative="1">
      <w:start w:val="1"/>
      <w:numFmt w:val="lowerLetter"/>
      <w:lvlText w:val="%5."/>
      <w:lvlJc w:val="left"/>
      <w:pPr>
        <w:ind w:left="3804" w:hanging="360"/>
      </w:pPr>
    </w:lvl>
    <w:lvl w:ilvl="5" w:tplc="1C09001B" w:tentative="1">
      <w:start w:val="1"/>
      <w:numFmt w:val="lowerRoman"/>
      <w:lvlText w:val="%6."/>
      <w:lvlJc w:val="right"/>
      <w:pPr>
        <w:ind w:left="4524" w:hanging="180"/>
      </w:pPr>
    </w:lvl>
    <w:lvl w:ilvl="6" w:tplc="1C09000F" w:tentative="1">
      <w:start w:val="1"/>
      <w:numFmt w:val="decimal"/>
      <w:lvlText w:val="%7."/>
      <w:lvlJc w:val="left"/>
      <w:pPr>
        <w:ind w:left="5244" w:hanging="360"/>
      </w:pPr>
    </w:lvl>
    <w:lvl w:ilvl="7" w:tplc="1C090019" w:tentative="1">
      <w:start w:val="1"/>
      <w:numFmt w:val="lowerLetter"/>
      <w:lvlText w:val="%8."/>
      <w:lvlJc w:val="left"/>
      <w:pPr>
        <w:ind w:left="5964" w:hanging="360"/>
      </w:pPr>
    </w:lvl>
    <w:lvl w:ilvl="8" w:tplc="1C09001B" w:tentative="1">
      <w:start w:val="1"/>
      <w:numFmt w:val="lowerRoman"/>
      <w:lvlText w:val="%9."/>
      <w:lvlJc w:val="right"/>
      <w:pPr>
        <w:ind w:left="6684" w:hanging="180"/>
      </w:pPr>
    </w:lvl>
  </w:abstractNum>
  <w:abstractNum w:abstractNumId="3">
    <w:nsid w:val="73F0210E"/>
    <w:multiLevelType w:val="hybridMultilevel"/>
    <w:tmpl w:val="B636E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553AC1"/>
    <w:rsid w:val="000764B8"/>
    <w:rsid w:val="000F10C7"/>
    <w:rsid w:val="004A5A16"/>
    <w:rsid w:val="00553AC1"/>
    <w:rsid w:val="00786508"/>
    <w:rsid w:val="00A25BCC"/>
    <w:rsid w:val="00D977F6"/>
    <w:rsid w:val="00DB24A1"/>
    <w:rsid w:val="00DF0D7D"/>
    <w:rsid w:val="00EB4FAD"/>
    <w:rsid w:val="00F42A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AC1"/>
    <w:pPr>
      <w:spacing w:before="120" w:after="0" w:line="360" w:lineRule="auto"/>
    </w:pPr>
    <w:rPr>
      <w:rFonts w:ascii="Arial" w:eastAsia="Times New Roman" w:hAnsi="Arial" w:cs="Times New Roman"/>
      <w:sz w:val="20"/>
      <w:szCs w:val="24"/>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553AC1"/>
    <w:pPr>
      <w:tabs>
        <w:tab w:val="center" w:pos="4153"/>
        <w:tab w:val="right" w:pos="8306"/>
      </w:tabs>
      <w:spacing w:after="0" w:line="240" w:lineRule="auto"/>
      <w:jc w:val="center"/>
    </w:pPr>
    <w:rPr>
      <w:rFonts w:ascii="Arial" w:eastAsia="Times New Roman" w:hAnsi="Arial" w:cs="Times New Roman"/>
      <w:b/>
      <w:szCs w:val="20"/>
      <w:lang w:val="en-GB"/>
    </w:rPr>
  </w:style>
  <w:style w:type="character" w:customStyle="1" w:styleId="HeaderChar">
    <w:name w:val="Header Char"/>
    <w:basedOn w:val="DefaultParagraphFont"/>
    <w:link w:val="Header"/>
    <w:rsid w:val="00553AC1"/>
    <w:rPr>
      <w:rFonts w:ascii="Arial" w:eastAsia="Times New Roman" w:hAnsi="Arial" w:cs="Times New Roman"/>
      <w:b/>
      <w:szCs w:val="20"/>
      <w:lang w:val="en-GB"/>
    </w:rPr>
  </w:style>
  <w:style w:type="paragraph" w:styleId="Footer">
    <w:name w:val="footer"/>
    <w:basedOn w:val="Normal"/>
    <w:link w:val="FooterChar"/>
    <w:uiPriority w:val="99"/>
    <w:rsid w:val="00553AC1"/>
    <w:pPr>
      <w:tabs>
        <w:tab w:val="center" w:pos="4153"/>
        <w:tab w:val="right" w:pos="8306"/>
      </w:tabs>
    </w:pPr>
  </w:style>
  <w:style w:type="character" w:customStyle="1" w:styleId="FooterChar">
    <w:name w:val="Footer Char"/>
    <w:basedOn w:val="DefaultParagraphFont"/>
    <w:link w:val="Footer"/>
    <w:uiPriority w:val="99"/>
    <w:rsid w:val="00553AC1"/>
    <w:rPr>
      <w:rFonts w:ascii="Arial" w:eastAsia="Times New Roman" w:hAnsi="Arial" w:cs="Times New Roman"/>
      <w:sz w:val="20"/>
      <w:szCs w:val="24"/>
      <w:lang w:val="en-Z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FCEB4-0746-461F-B73B-4F3F5A43A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1198</Words>
  <Characters>6830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Lmasilo</dc:creator>
  <cp:lastModifiedBy>Lmasilo</cp:lastModifiedBy>
  <cp:revision>5</cp:revision>
  <dcterms:created xsi:type="dcterms:W3CDTF">2013-06-14T13:22:00Z</dcterms:created>
  <dcterms:modified xsi:type="dcterms:W3CDTF">2013-06-17T20:15:00Z</dcterms:modified>
</cp:coreProperties>
</file>