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F96BA3">
      <w:pPr>
        <w:spacing w:after="90"/>
        <w:outlineLvl w:val="0"/>
        <w:rPr>
          <w:rFonts w:ascii="Arial" w:hAnsi="Arial" w:cs="Arial"/>
          <w:b/>
          <w:bCs/>
          <w:color w:val="000000"/>
          <w:kern w:val="36"/>
          <w:sz w:val="27"/>
          <w:szCs w:val="27"/>
        </w:rPr>
      </w:pPr>
    </w:p>
    <w:p w:rsidR="004C348F" w:rsidRDefault="004C348F" w:rsidP="00F96BA3">
      <w:pPr>
        <w:spacing w:after="90"/>
        <w:outlineLvl w:val="0"/>
        <w:rPr>
          <w:rFonts w:ascii="Arial" w:hAnsi="Arial" w:cs="Arial"/>
          <w:b/>
          <w:bCs/>
          <w:color w:val="000000"/>
          <w:kern w:val="36"/>
          <w:sz w:val="27"/>
          <w:szCs w:val="27"/>
        </w:rPr>
      </w:pPr>
    </w:p>
    <w:p w:rsidR="004C348F" w:rsidRDefault="004C348F" w:rsidP="00F96BA3">
      <w:pPr>
        <w:spacing w:after="90"/>
        <w:outlineLvl w:val="0"/>
        <w:rPr>
          <w:rFonts w:ascii="Arial" w:hAnsi="Arial" w:cs="Arial"/>
          <w:b/>
          <w:bCs/>
          <w:color w:val="000000"/>
          <w:kern w:val="36"/>
          <w:sz w:val="27"/>
          <w:szCs w:val="27"/>
        </w:rPr>
      </w:pPr>
    </w:p>
    <w:p w:rsidR="004C348F" w:rsidRDefault="004C348F" w:rsidP="00F96BA3">
      <w:pPr>
        <w:spacing w:after="90"/>
        <w:outlineLvl w:val="0"/>
        <w:rPr>
          <w:rFonts w:ascii="Arial" w:hAnsi="Arial" w:cs="Arial"/>
          <w:b/>
          <w:bCs/>
          <w:color w:val="000000"/>
          <w:kern w:val="36"/>
          <w:sz w:val="27"/>
          <w:szCs w:val="27"/>
        </w:rPr>
      </w:pPr>
    </w:p>
    <w:p w:rsidR="004C348F" w:rsidRDefault="004C348F" w:rsidP="00F96BA3">
      <w:pPr>
        <w:spacing w:after="90"/>
        <w:outlineLvl w:val="0"/>
        <w:rPr>
          <w:rFonts w:ascii="Arial" w:hAnsi="Arial" w:cs="Arial"/>
          <w:b/>
          <w:bCs/>
          <w:color w:val="000000"/>
          <w:kern w:val="36"/>
          <w:sz w:val="27"/>
          <w:szCs w:val="27"/>
        </w:rPr>
      </w:pPr>
    </w:p>
    <w:p w:rsidR="008E34AA" w:rsidRPr="00AF4EBD" w:rsidRDefault="00826672" w:rsidP="00F96BA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r>
        <w:rPr>
          <w:rFonts w:ascii="Times New Roman" w:hAnsi="Times New Roman"/>
        </w:rPr>
        <w:t>1</w:t>
      </w:r>
      <w:r w:rsidR="00F465CA">
        <w:rPr>
          <w:rFonts w:ascii="Times New Roman" w:hAnsi="Times New Roman"/>
        </w:rPr>
        <w:t>0</w:t>
      </w:r>
      <w:r>
        <w:rPr>
          <w:rFonts w:ascii="Times New Roman" w:hAnsi="Times New Roman"/>
        </w:rPr>
        <w:t xml:space="preserve"> </w:t>
      </w:r>
      <w:r w:rsidR="00F465CA">
        <w:rPr>
          <w:rFonts w:ascii="Times New Roman" w:hAnsi="Times New Roman"/>
        </w:rPr>
        <w:t>October</w:t>
      </w:r>
      <w:r>
        <w:rPr>
          <w:rFonts w:ascii="Times New Roman" w:hAnsi="Times New Roman"/>
        </w:rPr>
        <w:t xml:space="preserve"> </w:t>
      </w:r>
      <w:r w:rsidR="008E34AA" w:rsidRPr="00AF4EBD">
        <w:rPr>
          <w:rFonts w:ascii="Times New Roman" w:hAnsi="Times New Roman"/>
        </w:rPr>
        <w:t>2013</w:t>
      </w:r>
    </w:p>
    <w:p w:rsidR="008E34AA" w:rsidRPr="00AF4EBD" w:rsidRDefault="008E34AA" w:rsidP="00F96BA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826672" w:rsidRDefault="008E34AA" w:rsidP="00F96BA3">
      <w:pPr>
        <w:rPr>
          <w:b/>
        </w:rPr>
      </w:pPr>
      <w:r w:rsidRPr="00AF4EBD">
        <w:rPr>
          <w:sz w:val="20"/>
        </w:rPr>
        <w:softHyphen/>
      </w:r>
      <w:r w:rsidR="00826672">
        <w:rPr>
          <w:b/>
        </w:rPr>
        <w:t xml:space="preserve">MOSH </w:t>
      </w:r>
      <w:r w:rsidR="00A75744">
        <w:rPr>
          <w:b/>
        </w:rPr>
        <w:t>SECRETARIAT</w:t>
      </w:r>
      <w:r w:rsidR="00826672">
        <w:rPr>
          <w:b/>
        </w:rPr>
        <w:t xml:space="preserve"> CIRCULAR NO.</w:t>
      </w:r>
      <w:r w:rsidR="00A75744">
        <w:rPr>
          <w:b/>
        </w:rPr>
        <w:t xml:space="preserve"> 14</w:t>
      </w:r>
      <w:r w:rsidR="00826672">
        <w:rPr>
          <w:b/>
        </w:rPr>
        <w:t>/13</w:t>
      </w:r>
    </w:p>
    <w:p w:rsidR="008E34AA" w:rsidRPr="00AF4EBD" w:rsidRDefault="008E34AA" w:rsidP="00F96BA3">
      <w:pPr>
        <w:rPr>
          <w:i/>
        </w:rPr>
      </w:pPr>
      <w:r w:rsidRPr="00AF4EBD">
        <w:rPr>
          <w:i/>
        </w:rPr>
        <w:t>(for consideration)</w:t>
      </w:r>
    </w:p>
    <w:p w:rsidR="008E34AA" w:rsidRPr="00AF4EBD" w:rsidRDefault="008E34AA" w:rsidP="00F96BA3">
      <w:r w:rsidRPr="00AF4EBD">
        <w:t>…………………………………………………………………………........................</w:t>
      </w:r>
      <w:r w:rsidR="00B85A6B">
        <w:t>.................................</w:t>
      </w:r>
    </w:p>
    <w:p w:rsidR="008E34AA" w:rsidRDefault="00A75744" w:rsidP="00F96BA3">
      <w:pPr>
        <w:rPr>
          <w:b/>
        </w:rPr>
      </w:pPr>
      <w:r>
        <w:rPr>
          <w:b/>
        </w:rPr>
        <w:t xml:space="preserve">FIRST </w:t>
      </w:r>
      <w:r w:rsidR="00B85A6B">
        <w:rPr>
          <w:b/>
        </w:rPr>
        <w:t>DRAFT</w:t>
      </w:r>
      <w:r w:rsidR="00A55DC0">
        <w:rPr>
          <w:b/>
        </w:rPr>
        <w:t>:</w:t>
      </w:r>
      <w:r w:rsidR="00B85A6B">
        <w:rPr>
          <w:b/>
        </w:rPr>
        <w:t xml:space="preserve"> TERMS OF REFERENCE FOR THE </w:t>
      </w:r>
      <w:r w:rsidR="009A743E">
        <w:rPr>
          <w:b/>
        </w:rPr>
        <w:t>PRELIMINARY INDEPENDENT VERIFICATION</w:t>
      </w:r>
      <w:r w:rsidR="00B85A6B">
        <w:rPr>
          <w:b/>
        </w:rPr>
        <w:t xml:space="preserve"> STUDY</w:t>
      </w:r>
    </w:p>
    <w:p w:rsidR="00826672" w:rsidRDefault="00826672" w:rsidP="00F96BA3">
      <w:pPr>
        <w:pStyle w:val="ListParagraph"/>
        <w:spacing w:after="0" w:line="240" w:lineRule="auto"/>
        <w:ind w:left="360"/>
        <w:jc w:val="both"/>
        <w:rPr>
          <w:rFonts w:ascii="Times New Roman" w:hAnsi="Times New Roman" w:cs="Times New Roman"/>
          <w:b/>
          <w:color w:val="000000"/>
          <w:sz w:val="24"/>
          <w:szCs w:val="24"/>
          <w:lang w:val="en-US"/>
        </w:rPr>
      </w:pPr>
    </w:p>
    <w:p w:rsidR="00B85A6B" w:rsidRPr="00B024FB" w:rsidRDefault="00B85A6B" w:rsidP="00F96BA3">
      <w:pPr>
        <w:pStyle w:val="ListParagraph"/>
        <w:numPr>
          <w:ilvl w:val="0"/>
          <w:numId w:val="15"/>
        </w:numPr>
        <w:spacing w:line="240" w:lineRule="auto"/>
        <w:jc w:val="both"/>
        <w:rPr>
          <w:rFonts w:ascii="Times New Roman" w:hAnsi="Times New Roman" w:cs="Times New Roman"/>
          <w:b/>
          <w:sz w:val="24"/>
          <w:szCs w:val="24"/>
          <w:u w:val="single"/>
        </w:rPr>
      </w:pPr>
      <w:r w:rsidRPr="00B024FB">
        <w:rPr>
          <w:rFonts w:ascii="Times New Roman" w:hAnsi="Times New Roman" w:cs="Times New Roman"/>
          <w:b/>
          <w:sz w:val="24"/>
          <w:szCs w:val="24"/>
          <w:u w:val="single"/>
        </w:rPr>
        <w:t xml:space="preserve">BACKGROUND </w:t>
      </w:r>
    </w:p>
    <w:p w:rsidR="00B85A6B" w:rsidRDefault="00B85A6B" w:rsidP="00F96BA3">
      <w:pPr>
        <w:jc w:val="both"/>
      </w:pPr>
      <w:r w:rsidRPr="00B024FB">
        <w:t>The Learning Hub exists to encourage widespread adoption of leading practices in the mining sector to improve OHS performance. Pockets of excellence exist in the sector and MOSH strive to identify these and promote them for widespread adoption. This is done through the MOSH Adoption system which entails the four main steps. These include the identification, documenting, (where necessary demonstration) and facilitation of leading practices for widespread adoption. The Learning Hub identified four risk areas namely, Falls of Ground, Dust, Noise and Transport and Machinery where the most significant improvements can be achieved. Adoption of leading practices is promoted by the various teams established per risk area.</w:t>
      </w:r>
    </w:p>
    <w:p w:rsidR="00B85A6B" w:rsidRPr="00B024FB" w:rsidRDefault="00B85A6B" w:rsidP="00F96BA3">
      <w:pPr>
        <w:jc w:val="both"/>
      </w:pPr>
    </w:p>
    <w:p w:rsidR="00B85A6B" w:rsidRPr="00B024FB" w:rsidRDefault="00B85A6B" w:rsidP="00F96BA3">
      <w:pPr>
        <w:pStyle w:val="ListParagraph"/>
        <w:numPr>
          <w:ilvl w:val="0"/>
          <w:numId w:val="15"/>
        </w:numPr>
        <w:spacing w:line="240" w:lineRule="auto"/>
        <w:jc w:val="both"/>
        <w:rPr>
          <w:rFonts w:ascii="Times New Roman" w:hAnsi="Times New Roman" w:cs="Times New Roman"/>
          <w:b/>
          <w:sz w:val="24"/>
          <w:szCs w:val="24"/>
          <w:u w:val="single"/>
        </w:rPr>
      </w:pPr>
      <w:r w:rsidRPr="00B024FB">
        <w:rPr>
          <w:rFonts w:ascii="Times New Roman" w:hAnsi="Times New Roman" w:cs="Times New Roman"/>
          <w:b/>
          <w:sz w:val="24"/>
          <w:szCs w:val="24"/>
          <w:u w:val="single"/>
        </w:rPr>
        <w:t>GUIDANCE PRINCIPLES</w:t>
      </w:r>
    </w:p>
    <w:p w:rsidR="00B85A6B" w:rsidRPr="00B024FB" w:rsidRDefault="00B85A6B" w:rsidP="00F96BA3">
      <w:pPr>
        <w:jc w:val="both"/>
      </w:pPr>
      <w:r w:rsidRPr="00B024FB">
        <w:t>At the Mine Health and Safety Council (MHSC) OHS Summit held in November 2011, Principals of the MHSC stakeholders re-affirmed their commitment to significantly improve mine health and safety performance. As part of the process, the Culture Transformation Framework (CTF) was launched focusing on the five pillars, namely; Pilla1: Leadership; Pillar 2: Risk Management; Pillar 3: Bonuses and Performance Incentives; Pillar 4: Leading Practices and Pillar 5: Elimination of Discrimination. For each of these pillars, there are clear roles and responsibilities for Employers, Organised Labour, the State, MHSC and Professional Associations in the mining industry, as well as minimum standards that must be met and reported on to the Department of Mineral Resources (the DMR).</w:t>
      </w:r>
    </w:p>
    <w:p w:rsidR="00B85A6B" w:rsidRPr="00B024FB" w:rsidRDefault="00B85A6B" w:rsidP="00F96BA3">
      <w:pPr>
        <w:jc w:val="both"/>
      </w:pPr>
      <w:r w:rsidRPr="00B024FB">
        <w:t>The most significant Pillar for the Learning Hub in the CTF is Pillar 4 on Leading Practices. This pillar requires that there will be a common approach to identifying and facilitating the adoption of leading OHS practices and research outcomes, which include:</w:t>
      </w:r>
    </w:p>
    <w:p w:rsidR="00B85A6B" w:rsidRPr="00B024FB" w:rsidRDefault="00B85A6B" w:rsidP="00F96BA3">
      <w:pPr>
        <w:pStyle w:val="ListParagraph"/>
        <w:numPr>
          <w:ilvl w:val="0"/>
          <w:numId w:val="16"/>
        </w:numPr>
        <w:spacing w:after="0" w:line="240" w:lineRule="auto"/>
        <w:ind w:left="1440"/>
        <w:jc w:val="both"/>
        <w:rPr>
          <w:rFonts w:ascii="Times New Roman" w:eastAsia="Times New Roman" w:hAnsi="Times New Roman" w:cs="Times New Roman"/>
          <w:sz w:val="24"/>
          <w:szCs w:val="24"/>
        </w:rPr>
      </w:pPr>
      <w:r w:rsidRPr="00B024FB">
        <w:rPr>
          <w:rFonts w:ascii="Times New Roman" w:eastAsia="Times New Roman" w:hAnsi="Times New Roman" w:cs="Times New Roman"/>
          <w:sz w:val="24"/>
          <w:szCs w:val="24"/>
        </w:rPr>
        <w:t xml:space="preserve">Support </w:t>
      </w:r>
      <w:r w:rsidRPr="00B024FB">
        <w:rPr>
          <w:rFonts w:ascii="Times New Roman" w:eastAsia="Times New Roman" w:hAnsi="Times New Roman" w:cs="Times New Roman"/>
          <w:bCs/>
          <w:sz w:val="24"/>
          <w:szCs w:val="24"/>
        </w:rPr>
        <w:t>sector level initiatives</w:t>
      </w:r>
      <w:r w:rsidRPr="00B024FB">
        <w:rPr>
          <w:rFonts w:ascii="Times New Roman" w:eastAsia="Times New Roman" w:hAnsi="Times New Roman" w:cs="Times New Roman"/>
          <w:sz w:val="24"/>
          <w:szCs w:val="24"/>
        </w:rPr>
        <w:t xml:space="preserve"> on the implementation of research outcomes and leading practices. </w:t>
      </w:r>
    </w:p>
    <w:p w:rsidR="00B85A6B" w:rsidRPr="00B024FB" w:rsidRDefault="00B85A6B" w:rsidP="00F96BA3">
      <w:pPr>
        <w:pStyle w:val="ListParagraph"/>
        <w:numPr>
          <w:ilvl w:val="0"/>
          <w:numId w:val="16"/>
        </w:numPr>
        <w:spacing w:before="100" w:beforeAutospacing="1" w:after="100" w:afterAutospacing="1" w:line="240" w:lineRule="auto"/>
        <w:ind w:left="1440"/>
        <w:jc w:val="both"/>
        <w:rPr>
          <w:rFonts w:ascii="Times New Roman" w:eastAsia="Times New Roman" w:hAnsi="Times New Roman" w:cs="Times New Roman"/>
          <w:sz w:val="24"/>
          <w:szCs w:val="24"/>
        </w:rPr>
      </w:pPr>
      <w:r w:rsidRPr="00B024FB">
        <w:rPr>
          <w:rFonts w:ascii="Times New Roman" w:eastAsia="Times New Roman" w:hAnsi="Times New Roman" w:cs="Times New Roman"/>
          <w:sz w:val="24"/>
          <w:szCs w:val="24"/>
        </w:rPr>
        <w:t xml:space="preserve">Investigate leading practices/new research objectively with appropriate consideration of benefits and ensuring risks areas low as reasonably practicable. </w:t>
      </w:r>
    </w:p>
    <w:p w:rsidR="00B85A6B" w:rsidRPr="00B024FB" w:rsidRDefault="00B85A6B" w:rsidP="00F96BA3">
      <w:pPr>
        <w:pStyle w:val="ListParagraph"/>
        <w:numPr>
          <w:ilvl w:val="0"/>
          <w:numId w:val="16"/>
        </w:numPr>
        <w:spacing w:before="100" w:beforeAutospacing="1" w:after="100" w:afterAutospacing="1" w:line="240" w:lineRule="auto"/>
        <w:ind w:left="1440"/>
        <w:jc w:val="both"/>
        <w:rPr>
          <w:rFonts w:ascii="Times New Roman" w:eastAsia="Times New Roman" w:hAnsi="Times New Roman" w:cs="Times New Roman"/>
          <w:sz w:val="24"/>
          <w:szCs w:val="24"/>
        </w:rPr>
      </w:pPr>
      <w:r w:rsidRPr="00B024FB">
        <w:rPr>
          <w:rFonts w:ascii="Times New Roman" w:eastAsia="Times New Roman" w:hAnsi="Times New Roman" w:cs="Times New Roman"/>
          <w:sz w:val="24"/>
          <w:szCs w:val="24"/>
        </w:rPr>
        <w:t xml:space="preserve">Leadership support at ALL levels have a clear understanding of what they have to do to enable and lead sustainable </w:t>
      </w:r>
      <w:r w:rsidRPr="00B024FB">
        <w:rPr>
          <w:rFonts w:ascii="Times New Roman" w:eastAsia="Times New Roman" w:hAnsi="Times New Roman" w:cs="Times New Roman"/>
          <w:bCs/>
          <w:sz w:val="24"/>
          <w:szCs w:val="24"/>
        </w:rPr>
        <w:t>adoption</w:t>
      </w:r>
      <w:r w:rsidRPr="00B024FB">
        <w:rPr>
          <w:rFonts w:ascii="Times New Roman" w:eastAsia="Times New Roman" w:hAnsi="Times New Roman" w:cs="Times New Roman"/>
          <w:sz w:val="24"/>
          <w:szCs w:val="24"/>
        </w:rPr>
        <w:t xml:space="preserve"> and this is appropriately included in their performance contracts. </w:t>
      </w:r>
    </w:p>
    <w:p w:rsidR="00B85A6B" w:rsidRPr="00B024FB" w:rsidRDefault="00B85A6B" w:rsidP="00F96BA3">
      <w:pPr>
        <w:pStyle w:val="ListParagraph"/>
        <w:numPr>
          <w:ilvl w:val="0"/>
          <w:numId w:val="16"/>
        </w:numPr>
        <w:spacing w:before="100" w:beforeAutospacing="1" w:after="100" w:afterAutospacing="1" w:line="240" w:lineRule="auto"/>
        <w:ind w:left="1440"/>
        <w:jc w:val="both"/>
        <w:rPr>
          <w:rFonts w:ascii="Times New Roman" w:eastAsia="Times New Roman" w:hAnsi="Times New Roman" w:cs="Times New Roman"/>
          <w:sz w:val="24"/>
          <w:szCs w:val="24"/>
        </w:rPr>
      </w:pPr>
      <w:r w:rsidRPr="00B024FB">
        <w:rPr>
          <w:rFonts w:ascii="Times New Roman" w:eastAsia="Times New Roman" w:hAnsi="Times New Roman" w:cs="Times New Roman"/>
          <w:sz w:val="24"/>
          <w:szCs w:val="24"/>
        </w:rPr>
        <w:t>There is early and effective</w:t>
      </w:r>
      <w:r w:rsidRPr="00B024FB">
        <w:rPr>
          <w:rFonts w:ascii="Times New Roman" w:eastAsia="Times New Roman" w:hAnsi="Times New Roman" w:cs="Times New Roman"/>
          <w:bCs/>
          <w:sz w:val="24"/>
          <w:szCs w:val="24"/>
        </w:rPr>
        <w:t> involvement</w:t>
      </w:r>
      <w:r w:rsidRPr="00B024FB">
        <w:rPr>
          <w:rFonts w:ascii="Times New Roman" w:eastAsia="Times New Roman" w:hAnsi="Times New Roman" w:cs="Times New Roman"/>
          <w:sz w:val="24"/>
          <w:szCs w:val="24"/>
        </w:rPr>
        <w:t xml:space="preserve"> of those affected by the </w:t>
      </w:r>
      <w:r w:rsidRPr="00B024FB">
        <w:rPr>
          <w:rFonts w:ascii="Times New Roman" w:eastAsia="Times New Roman" w:hAnsi="Times New Roman" w:cs="Times New Roman"/>
          <w:bCs/>
          <w:sz w:val="24"/>
          <w:szCs w:val="24"/>
        </w:rPr>
        <w:t>adoption</w:t>
      </w:r>
      <w:r w:rsidRPr="00B024FB">
        <w:rPr>
          <w:rFonts w:ascii="Times New Roman" w:eastAsia="Times New Roman" w:hAnsi="Times New Roman" w:cs="Times New Roman"/>
          <w:sz w:val="24"/>
          <w:szCs w:val="24"/>
        </w:rPr>
        <w:t xml:space="preserve"> including their knowledge, beliefs and values. </w:t>
      </w:r>
    </w:p>
    <w:p w:rsidR="00B85A6B" w:rsidRPr="00B024FB" w:rsidRDefault="00B85A6B" w:rsidP="00F96BA3">
      <w:pPr>
        <w:pStyle w:val="ListParagraph"/>
        <w:numPr>
          <w:ilvl w:val="0"/>
          <w:numId w:val="16"/>
        </w:numPr>
        <w:spacing w:before="100" w:beforeAutospacing="1" w:after="100" w:afterAutospacing="1" w:line="240" w:lineRule="auto"/>
        <w:ind w:left="1440"/>
        <w:jc w:val="both"/>
        <w:rPr>
          <w:rFonts w:ascii="Times New Roman" w:hAnsi="Times New Roman" w:cs="Times New Roman"/>
          <w:sz w:val="24"/>
          <w:szCs w:val="24"/>
        </w:rPr>
      </w:pPr>
      <w:r w:rsidRPr="00B024FB">
        <w:rPr>
          <w:rFonts w:ascii="Times New Roman" w:eastAsia="Times New Roman" w:hAnsi="Times New Roman" w:cs="Times New Roman"/>
          <w:sz w:val="24"/>
          <w:szCs w:val="24"/>
        </w:rPr>
        <w:t xml:space="preserve">Adequate training, technical support and explicit financial resources for adoption. </w:t>
      </w:r>
    </w:p>
    <w:p w:rsidR="00B85A6B" w:rsidRPr="00B85A6B" w:rsidRDefault="00B85A6B" w:rsidP="00F96BA3">
      <w:pPr>
        <w:pStyle w:val="ListParagraph"/>
        <w:numPr>
          <w:ilvl w:val="0"/>
          <w:numId w:val="16"/>
        </w:numPr>
        <w:spacing w:before="100" w:beforeAutospacing="1" w:after="100" w:afterAutospacing="1" w:line="240" w:lineRule="auto"/>
        <w:ind w:left="1440"/>
        <w:jc w:val="both"/>
        <w:rPr>
          <w:rFonts w:ascii="Times New Roman" w:hAnsi="Times New Roman" w:cs="Times New Roman"/>
          <w:sz w:val="24"/>
          <w:szCs w:val="24"/>
        </w:rPr>
      </w:pPr>
      <w:r w:rsidRPr="00B024FB">
        <w:rPr>
          <w:rFonts w:ascii="Times New Roman" w:eastAsia="Times New Roman" w:hAnsi="Times New Roman" w:cs="Times New Roman"/>
          <w:sz w:val="24"/>
          <w:szCs w:val="24"/>
        </w:rPr>
        <w:lastRenderedPageBreak/>
        <w:t xml:space="preserve"> </w:t>
      </w:r>
      <w:r w:rsidRPr="00B024FB">
        <w:rPr>
          <w:rFonts w:ascii="Times New Roman" w:eastAsia="Times New Roman" w:hAnsi="Times New Roman" w:cs="Times New Roman"/>
          <w:bCs/>
          <w:sz w:val="24"/>
          <w:szCs w:val="24"/>
        </w:rPr>
        <w:t>Monitoring of progress with the adoption and sustained monitoring of its impact through self-assessment and independent verification</w:t>
      </w:r>
      <w:r w:rsidRPr="00B024FB">
        <w:rPr>
          <w:rFonts w:ascii="Times New Roman" w:eastAsia="Times New Roman" w:hAnsi="Times New Roman" w:cs="Times New Roman"/>
          <w:sz w:val="24"/>
          <w:szCs w:val="24"/>
        </w:rPr>
        <w:t>.</w:t>
      </w:r>
    </w:p>
    <w:p w:rsidR="00B85A6B" w:rsidRPr="00B024FB" w:rsidRDefault="00B85A6B" w:rsidP="00F96BA3">
      <w:pPr>
        <w:pStyle w:val="ListParagraph"/>
        <w:spacing w:before="100" w:beforeAutospacing="1" w:after="100" w:afterAutospacing="1" w:line="240" w:lineRule="auto"/>
        <w:ind w:left="1440"/>
        <w:jc w:val="both"/>
        <w:rPr>
          <w:rFonts w:ascii="Times New Roman" w:hAnsi="Times New Roman" w:cs="Times New Roman"/>
          <w:sz w:val="24"/>
          <w:szCs w:val="24"/>
        </w:rPr>
      </w:pPr>
    </w:p>
    <w:p w:rsidR="00B85A6B" w:rsidRPr="00B024FB" w:rsidRDefault="00B85A6B" w:rsidP="00F96BA3">
      <w:pPr>
        <w:pStyle w:val="ListParagraph"/>
        <w:numPr>
          <w:ilvl w:val="0"/>
          <w:numId w:val="15"/>
        </w:numPr>
        <w:spacing w:line="240" w:lineRule="auto"/>
        <w:jc w:val="both"/>
        <w:rPr>
          <w:rFonts w:ascii="Times New Roman" w:hAnsi="Times New Roman" w:cs="Times New Roman"/>
          <w:b/>
          <w:sz w:val="24"/>
          <w:szCs w:val="24"/>
          <w:u w:val="single"/>
        </w:rPr>
      </w:pPr>
      <w:r w:rsidRPr="00B024FB">
        <w:rPr>
          <w:rFonts w:ascii="Times New Roman" w:hAnsi="Times New Roman" w:cs="Times New Roman"/>
          <w:b/>
          <w:sz w:val="24"/>
          <w:szCs w:val="24"/>
          <w:u w:val="single"/>
        </w:rPr>
        <w:t>THE ESSENCE OF THE PROJECT</w:t>
      </w:r>
    </w:p>
    <w:p w:rsidR="00B85A6B" w:rsidRDefault="00B85A6B" w:rsidP="00F96BA3">
      <w:pPr>
        <w:jc w:val="both"/>
      </w:pPr>
      <w:r w:rsidRPr="00B024FB">
        <w:t xml:space="preserve">As part of effectively implementing the CTF, the Chamber seeks to ensure that the requirements of Pillar 4(f) on </w:t>
      </w:r>
      <w:r w:rsidRPr="00B024FB">
        <w:rPr>
          <w:bCs/>
        </w:rPr>
        <w:t>monitoring of progress with the adoption and sustained monitoring of its impact through self-assessment and independent verification</w:t>
      </w:r>
      <w:r w:rsidRPr="00B024FB">
        <w:t xml:space="preserve"> are met. The Chamber intends to conduct a preliminary verification study prior to the envisaged full scale verification by the MHSC to enable the industry to deal effectively with gaps that might be identified without pressures from other stakeholders. A suitably qualified service provider with substantial relevant consultancy experience in the OHS field, particularly in the mining sector will be commissioned in that regard.  </w:t>
      </w:r>
    </w:p>
    <w:p w:rsidR="00B85A6B" w:rsidRPr="00B024FB" w:rsidRDefault="00B85A6B" w:rsidP="00F96BA3">
      <w:pPr>
        <w:jc w:val="both"/>
      </w:pPr>
    </w:p>
    <w:p w:rsidR="00B85A6B" w:rsidRPr="00B024FB" w:rsidRDefault="00B85A6B" w:rsidP="00F96BA3">
      <w:pPr>
        <w:pStyle w:val="ListParagraph"/>
        <w:numPr>
          <w:ilvl w:val="0"/>
          <w:numId w:val="15"/>
        </w:numPr>
        <w:spacing w:line="240" w:lineRule="auto"/>
        <w:jc w:val="both"/>
        <w:rPr>
          <w:rFonts w:ascii="Times New Roman" w:hAnsi="Times New Roman" w:cs="Times New Roman"/>
          <w:b/>
          <w:sz w:val="24"/>
          <w:szCs w:val="24"/>
          <w:u w:val="single"/>
        </w:rPr>
      </w:pPr>
      <w:r w:rsidRPr="00B024FB">
        <w:rPr>
          <w:rFonts w:ascii="Times New Roman" w:hAnsi="Times New Roman" w:cs="Times New Roman"/>
          <w:b/>
          <w:sz w:val="24"/>
          <w:szCs w:val="24"/>
          <w:u w:val="single"/>
        </w:rPr>
        <w:t>SCOPE OF WORK AND DELIVERABLES</w:t>
      </w:r>
    </w:p>
    <w:p w:rsidR="00B85A6B" w:rsidRPr="00B024FB" w:rsidRDefault="00B85A6B" w:rsidP="00F96BA3">
      <w:pPr>
        <w:jc w:val="both"/>
      </w:pPr>
      <w:r w:rsidRPr="00B024FB">
        <w:t>The below-provided are guidelines on what is required (from the service provider) to undertake this project:</w:t>
      </w:r>
    </w:p>
    <w:p w:rsidR="00B85A6B" w:rsidRPr="00B024FB" w:rsidRDefault="00B85A6B" w:rsidP="00F96BA3">
      <w:pPr>
        <w:ind w:left="720"/>
        <w:jc w:val="both"/>
      </w:pPr>
      <w:r w:rsidRPr="00B024FB">
        <w:t>4.1. Determine a representative sample of mines to be visited as part of the study. Two leading practices per focus area (i.e. Falls Of Ground, Dust, Noise and Transport and Machinery) should be covered.</w:t>
      </w:r>
    </w:p>
    <w:p w:rsidR="00B85A6B" w:rsidRPr="00B024FB" w:rsidRDefault="00B85A6B" w:rsidP="00F96BA3">
      <w:pPr>
        <w:ind w:left="720"/>
        <w:jc w:val="both"/>
      </w:pPr>
      <w:r w:rsidRPr="00B024FB">
        <w:t xml:space="preserve">4.2. Verify the correctness, completeness, consistency and accuracy of data provided when adoption the MOSH leading practices under review. The assessment should involve review of the following signed off documents: </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 xml:space="preserve">Adoption Plan (incl. M&amp;E) </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bCs/>
          <w:sz w:val="24"/>
          <w:szCs w:val="24"/>
        </w:rPr>
        <w:t>Copy of signed Leading Practice Adoption Review</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 xml:space="preserve">Leading Practice Amended Procedure </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 xml:space="preserve">Mental Model Interviews conducted </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 xml:space="preserve">Leadership Behaviour Plan </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 xml:space="preserve">Behaviour Communication  Plan </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 xml:space="preserve">Risk Assessment completed </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 xml:space="preserve">Training Lesson Plans </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 xml:space="preserve">Management Review  Process and </w:t>
      </w:r>
    </w:p>
    <w:p w:rsidR="00B85A6B" w:rsidRPr="00B024FB" w:rsidRDefault="00B85A6B" w:rsidP="00F96BA3">
      <w:pPr>
        <w:pStyle w:val="ListParagraph"/>
        <w:numPr>
          <w:ilvl w:val="0"/>
          <w:numId w:val="17"/>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Roll-out  plan  in place</w:t>
      </w:r>
    </w:p>
    <w:p w:rsidR="00B85A6B" w:rsidRPr="00B024FB" w:rsidRDefault="00B85A6B" w:rsidP="00F96BA3">
      <w:pPr>
        <w:ind w:left="720"/>
        <w:jc w:val="both"/>
      </w:pPr>
      <w:r w:rsidRPr="00B024FB">
        <w:t>4.3. Determine the level of impact of the adoption of the MOSH leading practices on health and safety. The assessment must focus on issues such as but not limited to:</w:t>
      </w:r>
    </w:p>
    <w:p w:rsidR="00B85A6B" w:rsidRPr="00B024FB" w:rsidRDefault="00B85A6B" w:rsidP="00F96BA3">
      <w:pPr>
        <w:pStyle w:val="ListParagraph"/>
        <w:numPr>
          <w:ilvl w:val="0"/>
          <w:numId w:val="18"/>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Investigate the number of Fall of Ground fatalities and injuries before and after the adoption of the leading practices under review.</w:t>
      </w:r>
    </w:p>
    <w:p w:rsidR="00B85A6B" w:rsidRPr="00B024FB" w:rsidRDefault="00B85A6B" w:rsidP="00F96BA3">
      <w:pPr>
        <w:pStyle w:val="ListParagraph"/>
        <w:numPr>
          <w:ilvl w:val="0"/>
          <w:numId w:val="18"/>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Investigate the number of Transport and Machinery fatalities and injuries before and after the adoption of the leading practice(s) under review.</w:t>
      </w:r>
    </w:p>
    <w:p w:rsidR="00B85A6B" w:rsidRPr="00B024FB" w:rsidRDefault="00B85A6B" w:rsidP="00F96BA3">
      <w:pPr>
        <w:pStyle w:val="ListParagraph"/>
        <w:numPr>
          <w:ilvl w:val="0"/>
          <w:numId w:val="18"/>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(Health to advice on indicators for Noise and Dust LPs)</w:t>
      </w:r>
    </w:p>
    <w:p w:rsidR="00B85A6B" w:rsidRPr="00B024FB" w:rsidRDefault="00B85A6B" w:rsidP="00F96BA3">
      <w:pPr>
        <w:ind w:left="720"/>
        <w:jc w:val="both"/>
        <w:rPr>
          <w:i/>
        </w:rPr>
      </w:pPr>
      <w:r w:rsidRPr="00B024FB">
        <w:t xml:space="preserve">4.4. Assess how the companies have achieved the requirements of Pillar 4 (a) – (f). </w:t>
      </w:r>
    </w:p>
    <w:p w:rsidR="00B85A6B" w:rsidRPr="00B024FB" w:rsidRDefault="00B85A6B" w:rsidP="00F96BA3">
      <w:pPr>
        <w:ind w:left="720"/>
        <w:jc w:val="both"/>
      </w:pPr>
      <w:r w:rsidRPr="00B024FB">
        <w:t>4.</w:t>
      </w:r>
      <w:r>
        <w:t>5</w:t>
      </w:r>
      <w:r w:rsidRPr="00B024FB">
        <w:t>. Prepare a report with:</w:t>
      </w:r>
    </w:p>
    <w:p w:rsidR="00B85A6B" w:rsidRPr="00B024FB" w:rsidRDefault="00B85A6B" w:rsidP="00F96BA3">
      <w:pPr>
        <w:ind w:left="1440"/>
        <w:jc w:val="both"/>
      </w:pPr>
      <w:r w:rsidRPr="00B024FB">
        <w:t>4.1.1. An overview on the level of compliance to the application of the MOSH Adoption system process requirements in terms of the correctness, completeness, consistency, accuracy and sustainability (Objective evidence to be provided).</w:t>
      </w:r>
    </w:p>
    <w:p w:rsidR="00B85A6B" w:rsidRPr="00B024FB" w:rsidRDefault="00B85A6B" w:rsidP="00F96BA3">
      <w:pPr>
        <w:ind w:left="1440"/>
        <w:jc w:val="both"/>
      </w:pPr>
      <w:r w:rsidRPr="00B024FB">
        <w:t>4.1.2. An overview of existing leading practices in meeting the minimum standards of Pillar 4 of the CTF (Objective evidence is required)</w:t>
      </w:r>
    </w:p>
    <w:p w:rsidR="00B85A6B" w:rsidRPr="00B024FB" w:rsidRDefault="00B85A6B" w:rsidP="00F96BA3">
      <w:pPr>
        <w:ind w:left="1440"/>
        <w:jc w:val="both"/>
      </w:pPr>
      <w:r w:rsidRPr="00B024FB">
        <w:lastRenderedPageBreak/>
        <w:t>4.1.3 An overview of the identified gaps and challenges in the adoption process.</w:t>
      </w:r>
    </w:p>
    <w:p w:rsidR="00B85A6B" w:rsidRDefault="00B85A6B" w:rsidP="00F96BA3">
      <w:pPr>
        <w:ind w:left="1440"/>
        <w:jc w:val="both"/>
      </w:pPr>
      <w:r w:rsidRPr="00B024FB">
        <w:t>4.1.4. A critical review of the mines’ systems of the impact of adoption of the leading practices under review.</w:t>
      </w:r>
    </w:p>
    <w:p w:rsidR="00B85A6B" w:rsidRDefault="00B85A6B" w:rsidP="00F96BA3">
      <w:pPr>
        <w:ind w:left="1440"/>
        <w:jc w:val="both"/>
      </w:pPr>
    </w:p>
    <w:p w:rsidR="00B85A6B" w:rsidRPr="00B024FB" w:rsidRDefault="00B85A6B" w:rsidP="00F96BA3">
      <w:pPr>
        <w:pStyle w:val="ListParagraph"/>
        <w:numPr>
          <w:ilvl w:val="0"/>
          <w:numId w:val="15"/>
        </w:numPr>
        <w:spacing w:line="240" w:lineRule="auto"/>
        <w:jc w:val="both"/>
        <w:rPr>
          <w:rFonts w:ascii="Times New Roman" w:hAnsi="Times New Roman" w:cs="Times New Roman"/>
          <w:b/>
          <w:sz w:val="24"/>
          <w:szCs w:val="24"/>
          <w:u w:val="single"/>
        </w:rPr>
      </w:pPr>
      <w:r w:rsidRPr="00B024FB">
        <w:rPr>
          <w:rFonts w:ascii="Times New Roman" w:hAnsi="Times New Roman" w:cs="Times New Roman"/>
          <w:b/>
          <w:sz w:val="24"/>
          <w:szCs w:val="24"/>
          <w:u w:val="single"/>
        </w:rPr>
        <w:t>STAKEHOLDER INVOLVEMENT</w:t>
      </w:r>
    </w:p>
    <w:p w:rsidR="00B85A6B" w:rsidRDefault="00B85A6B" w:rsidP="00F96BA3">
      <w:pPr>
        <w:jc w:val="both"/>
      </w:pPr>
      <w:r w:rsidRPr="00B024FB">
        <w:t>The study shall be coordinated through and led by the MOSH Task Force. It shall be conducted in close cooperation with the relevant stakeholders.</w:t>
      </w:r>
    </w:p>
    <w:p w:rsidR="00B85A6B" w:rsidRPr="00B024FB" w:rsidRDefault="00B85A6B" w:rsidP="00F96BA3">
      <w:pPr>
        <w:jc w:val="both"/>
      </w:pPr>
    </w:p>
    <w:p w:rsidR="00B85A6B" w:rsidRPr="00B024FB" w:rsidRDefault="00B85A6B" w:rsidP="00F96BA3">
      <w:pPr>
        <w:pStyle w:val="ListParagraph"/>
        <w:numPr>
          <w:ilvl w:val="0"/>
          <w:numId w:val="15"/>
        </w:numPr>
        <w:spacing w:line="240" w:lineRule="auto"/>
        <w:jc w:val="both"/>
        <w:rPr>
          <w:rFonts w:ascii="Times New Roman" w:hAnsi="Times New Roman" w:cs="Times New Roman"/>
          <w:b/>
          <w:sz w:val="24"/>
          <w:szCs w:val="24"/>
          <w:u w:val="single"/>
        </w:rPr>
      </w:pPr>
      <w:r w:rsidRPr="00B024FB">
        <w:rPr>
          <w:rFonts w:ascii="Times New Roman" w:hAnsi="Times New Roman" w:cs="Times New Roman"/>
          <w:b/>
          <w:sz w:val="24"/>
          <w:szCs w:val="24"/>
          <w:u w:val="single"/>
        </w:rPr>
        <w:t>ACCOUNTABILITY AND MANAGEMENT</w:t>
      </w:r>
    </w:p>
    <w:p w:rsidR="00B85A6B" w:rsidRPr="00B024FB" w:rsidRDefault="00B85A6B" w:rsidP="00F96BA3">
      <w:pPr>
        <w:ind w:firstLine="720"/>
        <w:jc w:val="both"/>
      </w:pPr>
      <w:r w:rsidRPr="00B024FB">
        <w:t>6.1. The Task Team</w:t>
      </w:r>
    </w:p>
    <w:p w:rsidR="00B85A6B" w:rsidRPr="00B024FB" w:rsidRDefault="00B85A6B" w:rsidP="00F96BA3">
      <w:pPr>
        <w:jc w:val="both"/>
      </w:pPr>
      <w:r w:rsidRPr="00B024FB">
        <w:t>The Task Team is made up of representatives from the MOSH Task Force. Accountabilities of the Task Team include:</w:t>
      </w:r>
    </w:p>
    <w:p w:rsidR="00B85A6B" w:rsidRPr="00B024FB" w:rsidRDefault="00B85A6B" w:rsidP="00F96BA3">
      <w:pPr>
        <w:pStyle w:val="ListParagraph"/>
        <w:numPr>
          <w:ilvl w:val="0"/>
          <w:numId w:val="19"/>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Agreement of the Terms of Reference (TOR).</w:t>
      </w:r>
    </w:p>
    <w:p w:rsidR="00B85A6B" w:rsidRPr="00B024FB" w:rsidRDefault="00B85A6B" w:rsidP="00F96BA3">
      <w:pPr>
        <w:pStyle w:val="ListParagraph"/>
        <w:numPr>
          <w:ilvl w:val="0"/>
          <w:numId w:val="19"/>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Oversight of the short-listing.</w:t>
      </w:r>
    </w:p>
    <w:p w:rsidR="00B85A6B" w:rsidRPr="00B024FB" w:rsidRDefault="00B85A6B" w:rsidP="00F96BA3">
      <w:pPr>
        <w:pStyle w:val="ListParagraph"/>
        <w:numPr>
          <w:ilvl w:val="0"/>
          <w:numId w:val="19"/>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Approval of any adjustments to the TOR.</w:t>
      </w:r>
    </w:p>
    <w:p w:rsidR="00B85A6B" w:rsidRPr="00B024FB" w:rsidRDefault="00B85A6B" w:rsidP="00F96BA3">
      <w:pPr>
        <w:pStyle w:val="ListParagraph"/>
        <w:numPr>
          <w:ilvl w:val="0"/>
          <w:numId w:val="19"/>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Approval of intermediate and final reports from the Service provider.</w:t>
      </w:r>
    </w:p>
    <w:p w:rsidR="00B85A6B" w:rsidRPr="00B024FB" w:rsidRDefault="00B85A6B" w:rsidP="00F96BA3">
      <w:pPr>
        <w:ind w:firstLine="720"/>
        <w:jc w:val="both"/>
      </w:pPr>
      <w:r w:rsidRPr="00B024FB">
        <w:t>6.2. The Chamber’s Learning Hub</w:t>
      </w:r>
    </w:p>
    <w:p w:rsidR="00B85A6B" w:rsidRPr="00B024FB" w:rsidRDefault="00B85A6B" w:rsidP="00F96BA3">
      <w:pPr>
        <w:jc w:val="both"/>
      </w:pPr>
      <w:r w:rsidRPr="00B024FB">
        <w:t>The Chamber’s Learning Hub department will be the contracting office and will supervise and support the Task Team. The responsibilities will include:</w:t>
      </w:r>
    </w:p>
    <w:p w:rsidR="00B85A6B" w:rsidRPr="00B024FB" w:rsidRDefault="00B85A6B" w:rsidP="00F96BA3">
      <w:pPr>
        <w:pStyle w:val="ListParagraph"/>
        <w:numPr>
          <w:ilvl w:val="0"/>
          <w:numId w:val="20"/>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Facilitating the selection process</w:t>
      </w:r>
    </w:p>
    <w:p w:rsidR="00B85A6B" w:rsidRPr="00B024FB" w:rsidRDefault="00B85A6B" w:rsidP="00F96BA3">
      <w:pPr>
        <w:pStyle w:val="ListParagraph"/>
        <w:numPr>
          <w:ilvl w:val="0"/>
          <w:numId w:val="20"/>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Contracting the Service provider</w:t>
      </w:r>
    </w:p>
    <w:p w:rsidR="00B85A6B" w:rsidRPr="00B024FB" w:rsidRDefault="00B85A6B" w:rsidP="00F96BA3">
      <w:pPr>
        <w:pStyle w:val="ListParagraph"/>
        <w:numPr>
          <w:ilvl w:val="0"/>
          <w:numId w:val="20"/>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Facilitating discussion and finalization of the TOR with key stakeholders</w:t>
      </w:r>
    </w:p>
    <w:p w:rsidR="00B85A6B" w:rsidRPr="00B024FB" w:rsidRDefault="00B85A6B" w:rsidP="00F96BA3">
      <w:pPr>
        <w:pStyle w:val="ListParagraph"/>
        <w:numPr>
          <w:ilvl w:val="0"/>
          <w:numId w:val="20"/>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Facilitating access to the Learning Hub information sources including documentation and</w:t>
      </w:r>
    </w:p>
    <w:p w:rsidR="00B85A6B" w:rsidRPr="00B024FB" w:rsidRDefault="00B85A6B" w:rsidP="00F96BA3">
      <w:pPr>
        <w:pStyle w:val="ListParagraph"/>
        <w:numPr>
          <w:ilvl w:val="0"/>
          <w:numId w:val="20"/>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Monitoring progress as per milestones.</w:t>
      </w:r>
    </w:p>
    <w:p w:rsidR="00B85A6B" w:rsidRPr="00B024FB" w:rsidRDefault="00B85A6B" w:rsidP="00F96BA3">
      <w:pPr>
        <w:ind w:firstLine="720"/>
        <w:jc w:val="both"/>
      </w:pPr>
      <w:r w:rsidRPr="00B024FB">
        <w:t>6.3. The Service Provider</w:t>
      </w:r>
    </w:p>
    <w:p w:rsidR="00B85A6B" w:rsidRPr="00B024FB" w:rsidRDefault="00B85A6B" w:rsidP="00F96BA3">
      <w:pPr>
        <w:jc w:val="both"/>
      </w:pPr>
      <w:r w:rsidRPr="00B024FB">
        <w:t xml:space="preserve">Under the guidance of the Learning Hub and the Task Team, the Service Provider will be responsible for:  </w:t>
      </w:r>
    </w:p>
    <w:p w:rsidR="00B85A6B" w:rsidRPr="00B024FB" w:rsidRDefault="00B85A6B" w:rsidP="00F96BA3">
      <w:pPr>
        <w:pStyle w:val="ListParagraph"/>
        <w:numPr>
          <w:ilvl w:val="0"/>
          <w:numId w:val="21"/>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Undertaking the study</w:t>
      </w:r>
    </w:p>
    <w:p w:rsidR="00B85A6B" w:rsidRPr="00B024FB" w:rsidRDefault="00B85A6B" w:rsidP="00F96BA3">
      <w:pPr>
        <w:pStyle w:val="ListParagraph"/>
        <w:numPr>
          <w:ilvl w:val="0"/>
          <w:numId w:val="21"/>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Coordinating stakeholder inputs.</w:t>
      </w:r>
    </w:p>
    <w:p w:rsidR="00B85A6B" w:rsidRPr="00B024FB" w:rsidRDefault="00B85A6B" w:rsidP="00F96BA3">
      <w:pPr>
        <w:pStyle w:val="ListParagraph"/>
        <w:numPr>
          <w:ilvl w:val="0"/>
          <w:numId w:val="21"/>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Systematic data collection and data processing.</w:t>
      </w:r>
    </w:p>
    <w:p w:rsidR="00B85A6B" w:rsidRPr="00B024FB" w:rsidRDefault="00B85A6B" w:rsidP="00F96BA3">
      <w:pPr>
        <w:pStyle w:val="ListParagraph"/>
        <w:numPr>
          <w:ilvl w:val="0"/>
          <w:numId w:val="21"/>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 xml:space="preserve">Design and facilitation of workshops or meeting. </w:t>
      </w:r>
    </w:p>
    <w:p w:rsidR="00B85A6B" w:rsidRPr="00B024FB" w:rsidRDefault="00B85A6B" w:rsidP="00F96BA3">
      <w:pPr>
        <w:pStyle w:val="ListParagraph"/>
        <w:numPr>
          <w:ilvl w:val="0"/>
          <w:numId w:val="21"/>
        </w:numPr>
        <w:spacing w:line="240" w:lineRule="auto"/>
        <w:jc w:val="both"/>
        <w:rPr>
          <w:rFonts w:ascii="Times New Roman" w:hAnsi="Times New Roman" w:cs="Times New Roman"/>
          <w:sz w:val="24"/>
          <w:szCs w:val="24"/>
        </w:rPr>
      </w:pPr>
      <w:r w:rsidRPr="00B024FB">
        <w:rPr>
          <w:rFonts w:ascii="Times New Roman" w:hAnsi="Times New Roman" w:cs="Times New Roman"/>
          <w:sz w:val="24"/>
          <w:szCs w:val="24"/>
        </w:rPr>
        <w:t>Preparation and delivery of draft and final reports and presentations.</w:t>
      </w:r>
    </w:p>
    <w:p w:rsidR="00B85A6B" w:rsidRPr="00B024FB" w:rsidRDefault="00B85A6B" w:rsidP="00F96BA3">
      <w:pPr>
        <w:ind w:left="720"/>
        <w:jc w:val="both"/>
      </w:pPr>
    </w:p>
    <w:p w:rsidR="00B85A6B" w:rsidRPr="00B024FB" w:rsidRDefault="00B85A6B" w:rsidP="00F96BA3">
      <w:pPr>
        <w:ind w:firstLine="720"/>
        <w:jc w:val="both"/>
      </w:pPr>
    </w:p>
    <w:p w:rsidR="00B85A6B" w:rsidRPr="00B024FB" w:rsidRDefault="00B85A6B" w:rsidP="00F96BA3">
      <w:pPr>
        <w:pStyle w:val="ListParagraph"/>
        <w:numPr>
          <w:ilvl w:val="0"/>
          <w:numId w:val="15"/>
        </w:numPr>
        <w:spacing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RECOMMENDATION</w:t>
      </w:r>
    </w:p>
    <w:p w:rsidR="00E664BB" w:rsidRPr="00F465CA" w:rsidRDefault="00E664BB" w:rsidP="00F96BA3">
      <w:pPr>
        <w:pStyle w:val="ListParagraph"/>
        <w:spacing w:line="240" w:lineRule="auto"/>
        <w:ind w:left="0"/>
        <w:rPr>
          <w:rFonts w:ascii="Times New Roman" w:hAnsi="Times New Roman" w:cs="Times New Roman"/>
          <w:color w:val="000000"/>
          <w:sz w:val="24"/>
          <w:szCs w:val="24"/>
        </w:rPr>
      </w:pPr>
      <w:r w:rsidRPr="00F465CA">
        <w:rPr>
          <w:rFonts w:ascii="Times New Roman" w:hAnsi="Times New Roman" w:cs="Times New Roman"/>
          <w:color w:val="000000"/>
          <w:sz w:val="24"/>
          <w:szCs w:val="24"/>
        </w:rPr>
        <w:t xml:space="preserve">It is recommended that members </w:t>
      </w:r>
      <w:r w:rsidR="00F465CA" w:rsidRPr="00F465CA">
        <w:rPr>
          <w:rFonts w:ascii="Times New Roman" w:hAnsi="Times New Roman" w:cs="Times New Roman"/>
          <w:color w:val="000000"/>
          <w:sz w:val="24"/>
          <w:szCs w:val="24"/>
        </w:rPr>
        <w:t>review the proposed T</w:t>
      </w:r>
      <w:r w:rsidR="00F465CA">
        <w:rPr>
          <w:rFonts w:ascii="Times New Roman" w:hAnsi="Times New Roman" w:cs="Times New Roman"/>
          <w:color w:val="000000"/>
          <w:sz w:val="24"/>
          <w:szCs w:val="24"/>
        </w:rPr>
        <w:t xml:space="preserve">erms </w:t>
      </w:r>
      <w:r w:rsidR="00F465CA" w:rsidRPr="00F465CA">
        <w:rPr>
          <w:rFonts w:ascii="Times New Roman" w:hAnsi="Times New Roman" w:cs="Times New Roman"/>
          <w:color w:val="000000"/>
          <w:sz w:val="24"/>
          <w:szCs w:val="24"/>
        </w:rPr>
        <w:t>o</w:t>
      </w:r>
      <w:r w:rsidR="00F465CA">
        <w:rPr>
          <w:rFonts w:ascii="Times New Roman" w:hAnsi="Times New Roman" w:cs="Times New Roman"/>
          <w:color w:val="000000"/>
          <w:sz w:val="24"/>
          <w:szCs w:val="24"/>
        </w:rPr>
        <w:t xml:space="preserve">f </w:t>
      </w:r>
      <w:r w:rsidR="00553607" w:rsidRPr="00F465CA">
        <w:rPr>
          <w:rFonts w:ascii="Times New Roman" w:hAnsi="Times New Roman" w:cs="Times New Roman"/>
          <w:color w:val="000000"/>
          <w:sz w:val="24"/>
          <w:szCs w:val="24"/>
        </w:rPr>
        <w:t>R</w:t>
      </w:r>
      <w:r w:rsidR="00553607">
        <w:rPr>
          <w:rFonts w:ascii="Times New Roman" w:hAnsi="Times New Roman" w:cs="Times New Roman"/>
          <w:color w:val="000000"/>
          <w:sz w:val="24"/>
          <w:szCs w:val="24"/>
        </w:rPr>
        <w:t xml:space="preserve">eference </w:t>
      </w:r>
      <w:r w:rsidR="00553607" w:rsidRPr="00F465CA">
        <w:rPr>
          <w:rFonts w:ascii="Times New Roman" w:hAnsi="Times New Roman" w:cs="Times New Roman"/>
          <w:color w:val="000000"/>
          <w:sz w:val="24"/>
          <w:szCs w:val="24"/>
        </w:rPr>
        <w:t>and</w:t>
      </w:r>
      <w:r w:rsidR="00F465CA" w:rsidRPr="00F465CA">
        <w:rPr>
          <w:rFonts w:ascii="Times New Roman" w:hAnsi="Times New Roman" w:cs="Times New Roman"/>
          <w:color w:val="000000"/>
          <w:sz w:val="24"/>
          <w:szCs w:val="24"/>
        </w:rPr>
        <w:t xml:space="preserve"> comment on it during the Secretariat meeting</w:t>
      </w:r>
      <w:r w:rsidR="00F465CA">
        <w:rPr>
          <w:rFonts w:ascii="Times New Roman" w:hAnsi="Times New Roman" w:cs="Times New Roman"/>
          <w:color w:val="000000"/>
          <w:sz w:val="24"/>
          <w:szCs w:val="24"/>
        </w:rPr>
        <w:t xml:space="preserve"> of 14 October 2013. </w:t>
      </w:r>
      <w:r w:rsidR="00F465CA" w:rsidRPr="00F465CA">
        <w:rPr>
          <w:rFonts w:ascii="Times New Roman" w:hAnsi="Times New Roman" w:cs="Times New Roman"/>
          <w:sz w:val="24"/>
          <w:szCs w:val="24"/>
        </w:rPr>
        <w:t>how best to address the aforementioned questions from the CEO Task Team on Elimination of Fatalities.</w:t>
      </w:r>
    </w:p>
    <w:p w:rsidR="00656FAB" w:rsidRPr="00922FF6" w:rsidRDefault="00656FAB" w:rsidP="00F96BA3">
      <w:pPr>
        <w:rPr>
          <w:rFonts w:ascii="Arial" w:hAnsi="Arial" w:cs="Arial"/>
          <w:color w:val="000000"/>
          <w:sz w:val="20"/>
          <w:szCs w:val="20"/>
        </w:rPr>
      </w:pPr>
    </w:p>
    <w:p w:rsidR="007D44D7" w:rsidRPr="00AF4EBD" w:rsidRDefault="007D44D7" w:rsidP="00F96BA3">
      <w:pPr>
        <w:pStyle w:val="ListParagraph"/>
        <w:autoSpaceDE w:val="0"/>
        <w:autoSpaceDN w:val="0"/>
        <w:adjustRightInd w:val="0"/>
        <w:spacing w:line="240" w:lineRule="auto"/>
        <w:ind w:left="0"/>
        <w:jc w:val="both"/>
        <w:rPr>
          <w:rFonts w:ascii="Times New Roman" w:hAnsi="Times New Roman" w:cs="Times New Roman"/>
          <w:b/>
          <w:szCs w:val="24"/>
        </w:rPr>
      </w:pPr>
    </w:p>
    <w:p w:rsidR="00B85A6B" w:rsidRDefault="00B85A6B" w:rsidP="00F96BA3">
      <w:pPr>
        <w:pStyle w:val="ListParagraph"/>
        <w:autoSpaceDE w:val="0"/>
        <w:autoSpaceDN w:val="0"/>
        <w:adjustRightInd w:val="0"/>
        <w:spacing w:line="240" w:lineRule="auto"/>
        <w:ind w:left="0"/>
        <w:jc w:val="both"/>
        <w:rPr>
          <w:rFonts w:ascii="Times New Roman" w:hAnsi="Times New Roman" w:cs="Times New Roman"/>
          <w:b/>
          <w:szCs w:val="24"/>
        </w:rPr>
      </w:pPr>
      <w:r>
        <w:rPr>
          <w:rFonts w:ascii="Times New Roman" w:hAnsi="Times New Roman" w:cs="Times New Roman"/>
          <w:b/>
          <w:szCs w:val="24"/>
        </w:rPr>
        <w:t>LETTIE MASILO</w:t>
      </w:r>
    </w:p>
    <w:p w:rsidR="00B85A6B" w:rsidRDefault="00B85A6B" w:rsidP="00F96BA3">
      <w:pPr>
        <w:pStyle w:val="ListParagraph"/>
        <w:autoSpaceDE w:val="0"/>
        <w:autoSpaceDN w:val="0"/>
        <w:adjustRightInd w:val="0"/>
        <w:spacing w:line="240" w:lineRule="auto"/>
        <w:ind w:left="0"/>
        <w:jc w:val="both"/>
        <w:rPr>
          <w:rFonts w:ascii="Times New Roman" w:hAnsi="Times New Roman" w:cs="Times New Roman"/>
          <w:b/>
          <w:szCs w:val="24"/>
        </w:rPr>
      </w:pPr>
      <w:r>
        <w:rPr>
          <w:rFonts w:ascii="Times New Roman" w:hAnsi="Times New Roman" w:cs="Times New Roman"/>
          <w:b/>
          <w:szCs w:val="24"/>
        </w:rPr>
        <w:t>SPECIALIST: M&amp;E</w:t>
      </w:r>
    </w:p>
    <w:p w:rsidR="00B85A6B" w:rsidRDefault="00B85A6B" w:rsidP="00F96BA3">
      <w:pPr>
        <w:pStyle w:val="ListParagraph"/>
        <w:autoSpaceDE w:val="0"/>
        <w:autoSpaceDN w:val="0"/>
        <w:adjustRightInd w:val="0"/>
        <w:spacing w:line="240" w:lineRule="auto"/>
        <w:ind w:left="0"/>
        <w:jc w:val="both"/>
        <w:rPr>
          <w:rFonts w:ascii="Times New Roman" w:hAnsi="Times New Roman" w:cs="Times New Roman"/>
          <w:b/>
          <w:szCs w:val="24"/>
        </w:rPr>
      </w:pPr>
      <w:r>
        <w:rPr>
          <w:rFonts w:ascii="Times New Roman" w:hAnsi="Times New Roman" w:cs="Times New Roman"/>
          <w:b/>
          <w:szCs w:val="24"/>
        </w:rPr>
        <w:t xml:space="preserve">Email: </w:t>
      </w:r>
      <w:hyperlink r:id="rId7" w:history="1">
        <w:r w:rsidRPr="00552B89">
          <w:rPr>
            <w:rStyle w:val="Hyperlink"/>
            <w:rFonts w:ascii="Times New Roman" w:hAnsi="Times New Roman" w:cs="Times New Roman"/>
            <w:b/>
            <w:szCs w:val="24"/>
          </w:rPr>
          <w:t>lmasilo@chamberofmines.org.za</w:t>
        </w:r>
      </w:hyperlink>
    </w:p>
    <w:p w:rsidR="00E030F6" w:rsidRPr="00E030F6" w:rsidRDefault="00B85A6B" w:rsidP="00F96BA3">
      <w:pPr>
        <w:pStyle w:val="ListParagraph"/>
        <w:autoSpaceDE w:val="0"/>
        <w:autoSpaceDN w:val="0"/>
        <w:adjustRightInd w:val="0"/>
        <w:spacing w:line="240" w:lineRule="auto"/>
        <w:ind w:left="0"/>
        <w:jc w:val="both"/>
        <w:rPr>
          <w:rFonts w:ascii="Times New Roman" w:hAnsi="Times New Roman"/>
          <w:szCs w:val="24"/>
        </w:rPr>
      </w:pPr>
      <w:r>
        <w:rPr>
          <w:rFonts w:ascii="Times New Roman" w:hAnsi="Times New Roman" w:cs="Times New Roman"/>
          <w:b/>
          <w:szCs w:val="24"/>
        </w:rPr>
        <w:t>Tel: 011 498 7750</w:t>
      </w:r>
      <w:r w:rsidR="008E34AA" w:rsidRPr="00AF4EBD">
        <w:rPr>
          <w:rFonts w:ascii="Times New Roman" w:hAnsi="Times New Roman" w:cs="Times New Roman"/>
          <w:b/>
          <w:szCs w:val="24"/>
        </w:rPr>
        <w:tab/>
      </w:r>
    </w:p>
    <w:sectPr w:rsidR="00E030F6" w:rsidRPr="00E030F6" w:rsidSect="00B85A6B">
      <w:headerReference w:type="default" r:id="rId8"/>
      <w:footerReference w:type="default" r:id="rId9"/>
      <w:headerReference w:type="first" r:id="rId10"/>
      <w:footerReference w:type="first" r:id="rId11"/>
      <w:pgSz w:w="12240" w:h="15840"/>
      <w:pgMar w:top="630" w:right="810" w:bottom="1440" w:left="900" w:header="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5FC" w:rsidRDefault="00EB45FC" w:rsidP="00F246B6">
      <w:r>
        <w:separator/>
      </w:r>
    </w:p>
  </w:endnote>
  <w:endnote w:type="continuationSeparator" w:id="1">
    <w:p w:rsidR="00EB45FC" w:rsidRDefault="00EB45FC"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9723"/>
      <w:docPartObj>
        <w:docPartGallery w:val="Page Numbers (Bottom of Page)"/>
        <w:docPartUnique/>
      </w:docPartObj>
    </w:sdtPr>
    <w:sdtContent>
      <w:p w:rsidR="00F96BA3" w:rsidRDefault="0018206B">
        <w:pPr>
          <w:pStyle w:val="Footer"/>
          <w:jc w:val="center"/>
        </w:pPr>
        <w:fldSimple w:instr=" PAGE   \* MERGEFORMAT ">
          <w:r w:rsidR="00A55DC0">
            <w:rPr>
              <w:noProof/>
            </w:rPr>
            <w:t>3</w:t>
          </w:r>
        </w:fldSimple>
      </w:p>
    </w:sdtContent>
  </w:sdt>
  <w:p w:rsidR="00826672" w:rsidRDefault="008266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2241"/>
      <w:docPartObj>
        <w:docPartGallery w:val="Page Numbers (Bottom of Page)"/>
        <w:docPartUnique/>
      </w:docPartObj>
    </w:sdtPr>
    <w:sdtContent>
      <w:p w:rsidR="00826672" w:rsidRDefault="0018206B">
        <w:pPr>
          <w:pStyle w:val="Footer"/>
          <w:jc w:val="center"/>
        </w:pPr>
        <w:fldSimple w:instr=" PAGE   \* MERGEFORMAT ">
          <w:r w:rsidR="00A55DC0">
            <w:rPr>
              <w:noProof/>
            </w:rPr>
            <w:t>1</w:t>
          </w:r>
        </w:fldSimple>
      </w:p>
    </w:sdtContent>
  </w:sdt>
  <w:p w:rsidR="00826672" w:rsidRDefault="008266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5FC" w:rsidRDefault="00EB45FC" w:rsidP="00F246B6">
      <w:r>
        <w:separator/>
      </w:r>
    </w:p>
  </w:footnote>
  <w:footnote w:type="continuationSeparator" w:id="1">
    <w:p w:rsidR="00EB45FC" w:rsidRDefault="00EB45FC"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672" w:rsidRDefault="00826672" w:rsidP="00E522A1">
    <w:pPr>
      <w:pStyle w:val="Header"/>
      <w:jc w:val="both"/>
    </w:pPr>
  </w:p>
  <w:p w:rsidR="00826672" w:rsidRDefault="00826672" w:rsidP="00E522A1">
    <w:pPr>
      <w:pStyle w:val="Header"/>
      <w:jc w:val="both"/>
    </w:pPr>
  </w:p>
  <w:p w:rsidR="00826672" w:rsidRDefault="00826672" w:rsidP="00E522A1">
    <w:pPr>
      <w:pStyle w:val="Header"/>
      <w:jc w:val="both"/>
    </w:pPr>
  </w:p>
  <w:p w:rsidR="00826672" w:rsidRDefault="00826672" w:rsidP="00E522A1">
    <w:pPr>
      <w:pStyle w:val="Header"/>
      <w:jc w:val="both"/>
    </w:pPr>
  </w:p>
  <w:p w:rsidR="00826672" w:rsidRDefault="0082667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672" w:rsidRDefault="0018206B">
    <w:pPr>
      <w:pStyle w:val="Header"/>
    </w:pPr>
    <w:r>
      <w:rPr>
        <w:noProof/>
      </w:rPr>
      <w:pict>
        <v:shapetype id="_x0000_t202" coordsize="21600,21600" o:spt="202" path="m,l,21600r21600,l21600,xe">
          <v:stroke joinstyle="miter"/>
          <v:path gradientshapeok="t" o:connecttype="rect"/>
        </v:shapetype>
        <v:shape id="_x0000_s1031" type="#_x0000_t202" style="position:absolute;margin-left:278.25pt;margin-top:80.25pt;width:245.25pt;height:60.75pt;z-index:251666432" filled="f" stroked="f">
          <v:textbox inset="1.44pt,1.44pt,1.44pt,1.44pt">
            <w:txbxContent>
              <w:p w:rsidR="00826672" w:rsidRDefault="00826672"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826672" w:rsidRPr="00741EA1" w:rsidRDefault="00826672" w:rsidP="008E2199">
                <w:pPr>
                  <w:jc w:val="right"/>
                  <w:rPr>
                    <w:rFonts w:ascii="Arial" w:hAnsi="Arial" w:cs="Arial"/>
                    <w:sz w:val="20"/>
                    <w:szCs w:val="20"/>
                  </w:rPr>
                </w:pPr>
              </w:p>
            </w:txbxContent>
          </v:textbox>
        </v:shape>
      </w:pict>
    </w:r>
    <w:r>
      <w:rPr>
        <w:noProof/>
      </w:rPr>
      <w:pict>
        <v:shape id="_x0000_s1030" type="#_x0000_t202" style="position:absolute;margin-left:2.25pt;margin-top:82.5pt;width:99pt;height:58.5pt;z-index:251665408" filled="f" stroked="f">
          <v:textbox inset="1.44pt,1.44pt,1.44pt,1.44pt">
            <w:txbxContent>
              <w:p w:rsidR="00826672" w:rsidRPr="00741EA1" w:rsidRDefault="00826672"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826672"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5266"/>
    <w:multiLevelType w:val="hybridMultilevel"/>
    <w:tmpl w:val="8FE23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90F3BBD"/>
    <w:multiLevelType w:val="hybridMultilevel"/>
    <w:tmpl w:val="0728FA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43C68A1"/>
    <w:multiLevelType w:val="hybridMultilevel"/>
    <w:tmpl w:val="EEACFF20"/>
    <w:lvl w:ilvl="0" w:tplc="D968180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A34D4C"/>
    <w:multiLevelType w:val="hybridMultilevel"/>
    <w:tmpl w:val="2CB0D14A"/>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32226C75"/>
    <w:multiLevelType w:val="hybridMultilevel"/>
    <w:tmpl w:val="221E2DA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619198A"/>
    <w:multiLevelType w:val="hybridMultilevel"/>
    <w:tmpl w:val="D968E6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0FA0927"/>
    <w:multiLevelType w:val="hybridMultilevel"/>
    <w:tmpl w:val="88A6E0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463C2ADB"/>
    <w:multiLevelType w:val="hybridMultilevel"/>
    <w:tmpl w:val="31921284"/>
    <w:lvl w:ilvl="0" w:tplc="04090017">
      <w:start w:val="1"/>
      <w:numFmt w:val="lowerLetter"/>
      <w:lvlText w:val="%1)"/>
      <w:lvlJc w:val="left"/>
      <w:pPr>
        <w:ind w:left="2207" w:hanging="360"/>
      </w:pPr>
      <w:rPr>
        <w:rFonts w:hint="default"/>
      </w:r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9">
    <w:nsid w:val="4B490605"/>
    <w:multiLevelType w:val="hybridMultilevel"/>
    <w:tmpl w:val="433A573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51F56889"/>
    <w:multiLevelType w:val="hybridMultilevel"/>
    <w:tmpl w:val="205239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302309E"/>
    <w:multiLevelType w:val="hybridMultilevel"/>
    <w:tmpl w:val="ACCEC800"/>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nsid w:val="57E24164"/>
    <w:multiLevelType w:val="hybridMultilevel"/>
    <w:tmpl w:val="B5FE86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CBF32C3"/>
    <w:multiLevelType w:val="hybridMultilevel"/>
    <w:tmpl w:val="410003D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75F225E3"/>
    <w:multiLevelType w:val="hybridMultilevel"/>
    <w:tmpl w:val="800CE50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75F63B37"/>
    <w:multiLevelType w:val="hybridMultilevel"/>
    <w:tmpl w:val="B62EB5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9516D2"/>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7A7E0F8A"/>
    <w:multiLevelType w:val="hybridMultilevel"/>
    <w:tmpl w:val="B5FE86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AAF6E94"/>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7B204F28"/>
    <w:multiLevelType w:val="hybridMultilevel"/>
    <w:tmpl w:val="D3D8B9E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7D31145F"/>
    <w:multiLevelType w:val="hybridMultilevel"/>
    <w:tmpl w:val="54C46790"/>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2"/>
  </w:num>
  <w:num w:numId="3">
    <w:abstractNumId w:val="16"/>
  </w:num>
  <w:num w:numId="4">
    <w:abstractNumId w:val="14"/>
  </w:num>
  <w:num w:numId="5">
    <w:abstractNumId w:val="7"/>
  </w:num>
  <w:num w:numId="6">
    <w:abstractNumId w:val="18"/>
  </w:num>
  <w:num w:numId="7">
    <w:abstractNumId w:val="19"/>
  </w:num>
  <w:num w:numId="8">
    <w:abstractNumId w:val="13"/>
  </w:num>
  <w:num w:numId="9">
    <w:abstractNumId w:val="9"/>
  </w:num>
  <w:num w:numId="10">
    <w:abstractNumId w:val="15"/>
  </w:num>
  <w:num w:numId="11">
    <w:abstractNumId w:val="1"/>
  </w:num>
  <w:num w:numId="12">
    <w:abstractNumId w:val="20"/>
  </w:num>
  <w:num w:numId="13">
    <w:abstractNumId w:val="11"/>
  </w:num>
  <w:num w:numId="14">
    <w:abstractNumId w:val="4"/>
  </w:num>
  <w:num w:numId="15">
    <w:abstractNumId w:val="3"/>
  </w:num>
  <w:num w:numId="16">
    <w:abstractNumId w:val="8"/>
  </w:num>
  <w:num w:numId="17">
    <w:abstractNumId w:val="5"/>
  </w:num>
  <w:num w:numId="18">
    <w:abstractNumId w:val="6"/>
  </w:num>
  <w:num w:numId="19">
    <w:abstractNumId w:val="10"/>
  </w:num>
  <w:num w:numId="20">
    <w:abstractNumId w:val="17"/>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10242"/>
    <o:shapelayout v:ext="edit">
      <o:idmap v:ext="edit" data="1"/>
    </o:shapelayout>
  </w:hdrShapeDefaults>
  <w:footnotePr>
    <w:footnote w:id="0"/>
    <w:footnote w:id="1"/>
  </w:footnotePr>
  <w:endnotePr>
    <w:endnote w:id="0"/>
    <w:endnote w:id="1"/>
  </w:endnotePr>
  <w:compat/>
  <w:rsids>
    <w:rsidRoot w:val="00F246B6"/>
    <w:rsid w:val="000142A4"/>
    <w:rsid w:val="00045702"/>
    <w:rsid w:val="000468B0"/>
    <w:rsid w:val="00052CD0"/>
    <w:rsid w:val="000A1926"/>
    <w:rsid w:val="000B2DEB"/>
    <w:rsid w:val="000C0FF5"/>
    <w:rsid w:val="000F56DD"/>
    <w:rsid w:val="00115A9F"/>
    <w:rsid w:val="00167BDE"/>
    <w:rsid w:val="0018206B"/>
    <w:rsid w:val="001C41FF"/>
    <w:rsid w:val="0020643C"/>
    <w:rsid w:val="002064B2"/>
    <w:rsid w:val="00251791"/>
    <w:rsid w:val="00275980"/>
    <w:rsid w:val="002779FC"/>
    <w:rsid w:val="0028588A"/>
    <w:rsid w:val="002A35CD"/>
    <w:rsid w:val="002C2C74"/>
    <w:rsid w:val="00306AC4"/>
    <w:rsid w:val="00337828"/>
    <w:rsid w:val="00345581"/>
    <w:rsid w:val="003523C7"/>
    <w:rsid w:val="0036312A"/>
    <w:rsid w:val="00363C82"/>
    <w:rsid w:val="003A03D3"/>
    <w:rsid w:val="003B4979"/>
    <w:rsid w:val="003E2B89"/>
    <w:rsid w:val="003F3E83"/>
    <w:rsid w:val="00405A59"/>
    <w:rsid w:val="00462D94"/>
    <w:rsid w:val="00470A9E"/>
    <w:rsid w:val="00480B65"/>
    <w:rsid w:val="00485ABB"/>
    <w:rsid w:val="004C348F"/>
    <w:rsid w:val="004F3E7A"/>
    <w:rsid w:val="00527F50"/>
    <w:rsid w:val="005363BE"/>
    <w:rsid w:val="00542115"/>
    <w:rsid w:val="00553607"/>
    <w:rsid w:val="00585737"/>
    <w:rsid w:val="005B7238"/>
    <w:rsid w:val="005D20CB"/>
    <w:rsid w:val="005D5AA4"/>
    <w:rsid w:val="005E0BCC"/>
    <w:rsid w:val="00656FAB"/>
    <w:rsid w:val="006609F9"/>
    <w:rsid w:val="00662A22"/>
    <w:rsid w:val="006654B5"/>
    <w:rsid w:val="006733AB"/>
    <w:rsid w:val="006961BE"/>
    <w:rsid w:val="006B2F5C"/>
    <w:rsid w:val="006C2850"/>
    <w:rsid w:val="006C2B27"/>
    <w:rsid w:val="006C2F7A"/>
    <w:rsid w:val="006C50F2"/>
    <w:rsid w:val="006D5B84"/>
    <w:rsid w:val="006E67AC"/>
    <w:rsid w:val="006F2167"/>
    <w:rsid w:val="00724C3D"/>
    <w:rsid w:val="00741EA1"/>
    <w:rsid w:val="00752260"/>
    <w:rsid w:val="00752F07"/>
    <w:rsid w:val="007B262D"/>
    <w:rsid w:val="007B6077"/>
    <w:rsid w:val="007C3B0C"/>
    <w:rsid w:val="007D44D7"/>
    <w:rsid w:val="007F1650"/>
    <w:rsid w:val="007F4583"/>
    <w:rsid w:val="00826672"/>
    <w:rsid w:val="008325B6"/>
    <w:rsid w:val="00836808"/>
    <w:rsid w:val="00883C20"/>
    <w:rsid w:val="008E2199"/>
    <w:rsid w:val="008E2DB0"/>
    <w:rsid w:val="008E34AA"/>
    <w:rsid w:val="008F4001"/>
    <w:rsid w:val="009019F7"/>
    <w:rsid w:val="00905C54"/>
    <w:rsid w:val="00967CF3"/>
    <w:rsid w:val="0099223A"/>
    <w:rsid w:val="009954C4"/>
    <w:rsid w:val="009975AA"/>
    <w:rsid w:val="009A743E"/>
    <w:rsid w:val="009B52EA"/>
    <w:rsid w:val="009B7CEC"/>
    <w:rsid w:val="00A457AA"/>
    <w:rsid w:val="00A55DC0"/>
    <w:rsid w:val="00A75744"/>
    <w:rsid w:val="00AC600D"/>
    <w:rsid w:val="00AD3B00"/>
    <w:rsid w:val="00AF4EBD"/>
    <w:rsid w:val="00B276E4"/>
    <w:rsid w:val="00B657E7"/>
    <w:rsid w:val="00B758B9"/>
    <w:rsid w:val="00B85A6B"/>
    <w:rsid w:val="00B868E8"/>
    <w:rsid w:val="00BA3251"/>
    <w:rsid w:val="00BD1952"/>
    <w:rsid w:val="00BF1608"/>
    <w:rsid w:val="00BF1946"/>
    <w:rsid w:val="00BF51EF"/>
    <w:rsid w:val="00C27C48"/>
    <w:rsid w:val="00C34E9D"/>
    <w:rsid w:val="00C4631C"/>
    <w:rsid w:val="00C53A18"/>
    <w:rsid w:val="00C613A9"/>
    <w:rsid w:val="00C6739B"/>
    <w:rsid w:val="00C745FF"/>
    <w:rsid w:val="00C910DB"/>
    <w:rsid w:val="00CB4AD4"/>
    <w:rsid w:val="00CD4511"/>
    <w:rsid w:val="00D30D8A"/>
    <w:rsid w:val="00D654C4"/>
    <w:rsid w:val="00DC1977"/>
    <w:rsid w:val="00DF6363"/>
    <w:rsid w:val="00E030F6"/>
    <w:rsid w:val="00E06884"/>
    <w:rsid w:val="00E16361"/>
    <w:rsid w:val="00E45841"/>
    <w:rsid w:val="00E522A1"/>
    <w:rsid w:val="00E664BB"/>
    <w:rsid w:val="00E75E6B"/>
    <w:rsid w:val="00EA07D0"/>
    <w:rsid w:val="00EB45FC"/>
    <w:rsid w:val="00EC71F8"/>
    <w:rsid w:val="00EE4F3A"/>
    <w:rsid w:val="00F134D5"/>
    <w:rsid w:val="00F1569D"/>
    <w:rsid w:val="00F246B6"/>
    <w:rsid w:val="00F465CA"/>
    <w:rsid w:val="00F96BA3"/>
    <w:rsid w:val="00FC144F"/>
    <w:rsid w:val="00FC3B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07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customStyle="1" w:styleId="BodyA">
    <w:name w:val="Body A"/>
    <w:rsid w:val="007B6077"/>
    <w:pPr>
      <w:spacing w:after="0" w:line="240" w:lineRule="auto"/>
    </w:pPr>
    <w:rPr>
      <w:rFonts w:ascii="Helvetica" w:eastAsia="ヒラギノ角ゴ Pro W3" w:hAnsi="Helvetica" w:cs="Times New Roman"/>
      <w:color w:val="000000"/>
      <w:sz w:val="24"/>
      <w:szCs w:val="20"/>
    </w:rPr>
  </w:style>
  <w:style w:type="paragraph" w:styleId="BodyText2">
    <w:name w:val="Body Text 2"/>
    <w:basedOn w:val="Normal"/>
    <w:link w:val="BodyText2Char"/>
    <w:rsid w:val="007B6077"/>
    <w:pPr>
      <w:spacing w:after="120" w:line="480" w:lineRule="auto"/>
    </w:pPr>
    <w:rPr>
      <w:szCs w:val="20"/>
    </w:rPr>
  </w:style>
  <w:style w:type="character" w:customStyle="1" w:styleId="BodyText2Char">
    <w:name w:val="Body Text 2 Char"/>
    <w:basedOn w:val="DefaultParagraphFont"/>
    <w:link w:val="BodyText2"/>
    <w:rsid w:val="007B6077"/>
    <w:rPr>
      <w:rFonts w:ascii="Times New Roman" w:eastAsia="Times New Roman" w:hAnsi="Times New Roman" w:cs="Times New Roman"/>
      <w:sz w:val="24"/>
      <w:szCs w:val="20"/>
    </w:rPr>
  </w:style>
  <w:style w:type="paragraph" w:styleId="ListParagraph">
    <w:name w:val="List Paragraph"/>
    <w:basedOn w:val="Normal"/>
    <w:uiPriority w:val="34"/>
    <w:qFormat/>
    <w:rsid w:val="00E030F6"/>
    <w:pPr>
      <w:spacing w:after="200" w:line="276" w:lineRule="auto"/>
      <w:ind w:left="720"/>
      <w:contextualSpacing/>
    </w:pPr>
    <w:rPr>
      <w:rFonts w:asciiTheme="minorHAnsi" w:eastAsiaTheme="minorHAnsi" w:hAnsiTheme="minorHAnsi" w:cstheme="minorBidi"/>
      <w:sz w:val="22"/>
      <w:szCs w:val="22"/>
      <w:lang w:val="en-ZA"/>
    </w:rPr>
  </w:style>
  <w:style w:type="paragraph" w:styleId="NoSpacing">
    <w:name w:val="No Spacing"/>
    <w:uiPriority w:val="1"/>
    <w:qFormat/>
    <w:rsid w:val="00E030F6"/>
    <w:pPr>
      <w:spacing w:after="0" w:line="240" w:lineRule="auto"/>
    </w:pPr>
    <w:rPr>
      <w:lang w:val="en-ZA"/>
    </w:rPr>
  </w:style>
  <w:style w:type="table" w:styleId="TableGrid">
    <w:name w:val="Table Grid"/>
    <w:basedOn w:val="TableNormal"/>
    <w:rsid w:val="008E34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masilo@chamberofmines.org.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5</cp:revision>
  <cp:lastPrinted>2013-07-18T14:47:00Z</cp:lastPrinted>
  <dcterms:created xsi:type="dcterms:W3CDTF">2013-10-11T11:27:00Z</dcterms:created>
  <dcterms:modified xsi:type="dcterms:W3CDTF">2013-10-14T06:48:00Z</dcterms:modified>
</cp:coreProperties>
</file>