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4C0D8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58752"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52312" w:rsidRDefault="0065231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FF5C05" w:rsidRDefault="00FF5C0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FF5C05" w:rsidRDefault="00FF5C05" w:rsidP="00FF5C05">
      <w:proofErr w:type="gramStart"/>
      <w:r>
        <w:rPr>
          <w:b/>
          <w:u w:val="single"/>
        </w:rPr>
        <w:t>MOSH</w:t>
      </w:r>
      <w:proofErr w:type="gramEnd"/>
      <w:r>
        <w:rPr>
          <w:b/>
          <w:u w:val="single"/>
        </w:rPr>
        <w:t xml:space="preserve"> </w:t>
      </w:r>
      <w:r w:rsidR="00F24330">
        <w:rPr>
          <w:b/>
          <w:u w:val="single"/>
        </w:rPr>
        <w:t xml:space="preserve">NOISE TEAM </w:t>
      </w:r>
      <w:r>
        <w:rPr>
          <w:b/>
          <w:u w:val="single"/>
        </w:rPr>
        <w:t>CIRCULAR NO</w:t>
      </w:r>
      <w:r w:rsidR="00357513">
        <w:rPr>
          <w:b/>
          <w:u w:val="single"/>
        </w:rPr>
        <w:t xml:space="preserve">. </w:t>
      </w:r>
      <w:r w:rsidR="00C26A3F">
        <w:rPr>
          <w:b/>
          <w:u w:val="single"/>
        </w:rPr>
        <w:t>2</w:t>
      </w:r>
      <w:r w:rsidR="00C6293A">
        <w:rPr>
          <w:b/>
          <w:u w:val="single"/>
        </w:rPr>
        <w:t>/13</w:t>
      </w:r>
    </w:p>
    <w:p w:rsidR="00FF5C05" w:rsidRDefault="00FF5C05" w:rsidP="00FF5C05">
      <w:pPr>
        <w:rPr>
          <w:i/>
        </w:rPr>
      </w:pPr>
      <w:r>
        <w:rPr>
          <w:i/>
        </w:rPr>
        <w:t>(For communication and action)</w:t>
      </w:r>
    </w:p>
    <w:p w:rsidR="00FF5C05" w:rsidRDefault="00FF5C05" w:rsidP="00FF5C05">
      <w:pPr>
        <w:rPr>
          <w:i/>
        </w:rPr>
      </w:pPr>
    </w:p>
    <w:p w:rsidR="00FF5C05" w:rsidRDefault="00F7020C" w:rsidP="005C7C64">
      <w:pPr>
        <w:jc w:val="both"/>
        <w:rPr>
          <w:b/>
        </w:rPr>
      </w:pPr>
      <w:r>
        <w:rPr>
          <w:b/>
        </w:rPr>
        <w:t>BEST PRACTICES IN NIHL MANAGEMENT</w:t>
      </w:r>
    </w:p>
    <w:p w:rsidR="00FF5C05" w:rsidRDefault="00FF5C05" w:rsidP="005C7C64">
      <w:pPr>
        <w:jc w:val="both"/>
        <w:rPr>
          <w:b/>
        </w:rPr>
      </w:pPr>
    </w:p>
    <w:tbl>
      <w:tblPr>
        <w:tblW w:w="0" w:type="auto"/>
        <w:tblLook w:val="04A0"/>
      </w:tblPr>
      <w:tblGrid>
        <w:gridCol w:w="8522"/>
      </w:tblGrid>
      <w:tr w:rsidR="00FF5C05" w:rsidRPr="007D1013" w:rsidTr="0080201D">
        <w:tc>
          <w:tcPr>
            <w:tcW w:w="8522" w:type="dxa"/>
          </w:tcPr>
          <w:p w:rsidR="00FF5C05" w:rsidRPr="00F7020C" w:rsidRDefault="00FF5C05" w:rsidP="00F7020C">
            <w:pPr>
              <w:spacing w:after="120" w:line="360" w:lineRule="auto"/>
              <w:jc w:val="both"/>
              <w:rPr>
                <w:i/>
              </w:rPr>
            </w:pPr>
            <w:r w:rsidRPr="007D1013">
              <w:rPr>
                <w:b/>
                <w:i/>
              </w:rPr>
              <w:t>Purpose:</w:t>
            </w:r>
            <w:r w:rsidRPr="007D1013">
              <w:rPr>
                <w:i/>
              </w:rPr>
              <w:t xml:space="preserve"> </w:t>
            </w:r>
            <w:r w:rsidR="00F7020C" w:rsidRPr="00F7020C">
              <w:rPr>
                <w:i/>
              </w:rPr>
              <w:t>The purpose of this short report is to summarise best practice in the NIHL management within the mining industry and to comment on why NIHL remains one of the most prevalent occupational diseases in the industry.</w:t>
            </w:r>
          </w:p>
        </w:tc>
      </w:tr>
    </w:tbl>
    <w:p w:rsidR="008D6DDC" w:rsidRPr="007D1013" w:rsidRDefault="00B66594" w:rsidP="00F7020C">
      <w:pPr>
        <w:numPr>
          <w:ilvl w:val="0"/>
          <w:numId w:val="2"/>
        </w:numPr>
        <w:ind w:hanging="720"/>
        <w:jc w:val="both"/>
        <w:rPr>
          <w:b/>
          <w:bCs/>
        </w:rPr>
      </w:pPr>
      <w:r w:rsidRPr="00F7020C">
        <w:rPr>
          <w:b/>
          <w:bCs/>
        </w:rPr>
        <w:t xml:space="preserve"> </w:t>
      </w:r>
      <w:bookmarkStart w:id="0" w:name="_GoBack"/>
      <w:bookmarkEnd w:id="0"/>
      <w:r w:rsidR="00F00F42" w:rsidRPr="00F7020C">
        <w:rPr>
          <w:b/>
          <w:bCs/>
        </w:rPr>
        <w:pict>
          <v:rect id="Rectangle 2" o:spid="_x0000_s1026"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" filled="f" stroked="f" strokeweight="1pt">
            <v:path arrowok="t"/>
            <v:textbox style="mso-next-textbox:#Rectangle 2" inset="0,0,0,0">
              <w:txbxContent>
                <w:p w:rsidR="00652312" w:rsidRPr="00652312" w:rsidRDefault="00652312">
                  <w:pPr>
                    <w:pStyle w:val="FreeFormA"/>
                    <w:spacing w:line="192" w:lineRule="auto"/>
                    <w:jc w:val="right"/>
                    <w:rPr>
                      <w:sz w:val="16"/>
                      <w:szCs w:val="16"/>
                    </w:rPr>
                  </w:pPr>
                  <w:r w:rsidRPr="00652312">
                    <w:rPr>
                      <w:sz w:val="16"/>
                      <w:szCs w:val="16"/>
                    </w:rPr>
                    <w:t>Telephone: (011) 498-7</w:t>
                  </w:r>
                  <w:r>
                    <w:rPr>
                      <w:sz w:val="16"/>
                      <w:szCs w:val="16"/>
                    </w:rPr>
                    <w:t>752</w:t>
                  </w:r>
                </w:p>
                <w:p w:rsidR="00652312" w:rsidRPr="00652312" w:rsidRDefault="00652312">
                  <w:pPr>
                    <w:pStyle w:val="FreeFormA"/>
                    <w:spacing w:line="192" w:lineRule="auto"/>
                    <w:jc w:val="right"/>
                    <w:rPr>
                      <w:sz w:val="16"/>
                      <w:szCs w:val="16"/>
                    </w:rPr>
                  </w:pPr>
                  <w:proofErr w:type="spellStart"/>
                  <w:r w:rsidRPr="00652312">
                    <w:rPr>
                      <w:sz w:val="16"/>
                      <w:szCs w:val="16"/>
                    </w:rPr>
                    <w:t>Telefax</w:t>
                  </w:r>
                  <w:proofErr w:type="spellEnd"/>
                  <w:r w:rsidRPr="00652312">
                    <w:rPr>
                      <w:sz w:val="16"/>
                      <w:szCs w:val="16"/>
                    </w:rPr>
                    <w:t>: (011) 834-1884</w:t>
                  </w:r>
                </w:p>
                <w:p w:rsidR="00652312" w:rsidRPr="00652312" w:rsidRDefault="00652312">
                  <w:pPr>
                    <w:pStyle w:val="FreeFormA"/>
                    <w:spacing w:line="192" w:lineRule="auto"/>
                    <w:jc w:val="right"/>
                    <w:rPr>
                      <w:sz w:val="16"/>
                      <w:szCs w:val="16"/>
                    </w:rPr>
                  </w:pPr>
                  <w:r w:rsidRPr="00652312">
                    <w:rPr>
                      <w:sz w:val="16"/>
                      <w:szCs w:val="16"/>
                    </w:rPr>
                    <w:t xml:space="preserve">Web: </w:t>
                  </w:r>
                  <w:hyperlink r:id="rId9" w:history="1">
                    <w:r w:rsidRPr="00652312">
                      <w:rPr>
                        <w:color w:val="00008B"/>
                        <w:sz w:val="16"/>
                        <w:szCs w:val="16"/>
                        <w:u w:val="single"/>
                      </w:rPr>
                      <w:t>http://www. chamberofmines.org.za</w:t>
                    </w:r>
                  </w:hyperlink>
                </w:p>
                <w:p w:rsidR="00652312" w:rsidRPr="00652312" w:rsidRDefault="00652312">
                  <w:pPr>
                    <w:pStyle w:val="FreeFormA"/>
                    <w:spacing w:line="192" w:lineRule="auto"/>
                    <w:jc w:val="right"/>
                    <w:rPr>
                      <w:rFonts w:eastAsia="Times New Roman"/>
                      <w:color w:val="auto"/>
                      <w:sz w:val="16"/>
                      <w:szCs w:val="16"/>
                    </w:rPr>
                  </w:pPr>
                  <w:r w:rsidRPr="00652312">
                    <w:rPr>
                      <w:sz w:val="16"/>
                      <w:szCs w:val="16"/>
                    </w:rPr>
                    <w:t xml:space="preserve">E-mail: </w:t>
                  </w:r>
                  <w:hyperlink r:id="rId10" w:history="1">
                    <w:r w:rsidR="001E1BEE" w:rsidRPr="00D146B3">
                      <w:rPr>
                        <w:rStyle w:val="Hyperlink"/>
                        <w:sz w:val="16"/>
                        <w:szCs w:val="16"/>
                      </w:rPr>
                      <w:t>hgumede@chamberofmines.org.za</w:t>
                    </w:r>
                  </w:hyperlink>
                </w:p>
              </w:txbxContent>
            </v:textbox>
            <w10:wrap anchorx="page" anchory="page"/>
          </v:rect>
        </w:pict>
      </w:r>
      <w:r w:rsidR="00F00F42" w:rsidRPr="00F7020C">
        <w:rPr>
          <w:b/>
          <w:bCs/>
        </w:rPr>
        <w:pict>
          <v:rect id="Rectangle 3" o:spid="_x0000_s1027" style="position:absolute;left:0;text-align:left;margin-left:55pt;margin-top:126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9Q9nA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" filled="f" stroked="f" strokeweight="1pt">
            <v:path arrowok="t"/>
            <v:textbox style="mso-next-textbox:#Rectangle 3" inset="0,0,0,0">
              <w:txbxContent>
                <w:p w:rsidR="00652312" w:rsidRPr="00652312" w:rsidRDefault="00652312">
                  <w:pPr>
                    <w:pStyle w:val="FreeFormA"/>
                    <w:spacing w:line="192" w:lineRule="auto"/>
                    <w:rPr>
                      <w:sz w:val="16"/>
                      <w:szCs w:val="16"/>
                    </w:rPr>
                  </w:pPr>
                  <w:r w:rsidRPr="00652312">
                    <w:rPr>
                      <w:sz w:val="16"/>
                      <w:szCs w:val="16"/>
                    </w:rPr>
                    <w:t xml:space="preserve">5 </w:t>
                  </w:r>
                  <w:proofErr w:type="spellStart"/>
                  <w:r w:rsidRPr="00652312">
                    <w:rPr>
                      <w:sz w:val="16"/>
                      <w:szCs w:val="16"/>
                    </w:rPr>
                    <w:t>Hollard</w:t>
                  </w:r>
                  <w:proofErr w:type="spellEnd"/>
                  <w:r w:rsidRPr="00652312">
                    <w:rPr>
                      <w:sz w:val="16"/>
                      <w:szCs w:val="16"/>
                    </w:rPr>
                    <w:t xml:space="preserve"> Street</w:t>
                  </w:r>
                </w:p>
                <w:p w:rsidR="00652312" w:rsidRPr="00652312" w:rsidRDefault="00652312">
                  <w:pPr>
                    <w:pStyle w:val="FreeFormA"/>
                    <w:spacing w:line="192" w:lineRule="auto"/>
                    <w:rPr>
                      <w:sz w:val="16"/>
                      <w:szCs w:val="16"/>
                    </w:rPr>
                  </w:pPr>
                  <w:r w:rsidRPr="00652312">
                    <w:rPr>
                      <w:sz w:val="16"/>
                      <w:szCs w:val="16"/>
                    </w:rPr>
                    <w:t>Johannesburg 2001</w:t>
                  </w:r>
                </w:p>
                <w:p w:rsidR="00652312" w:rsidRPr="00652312" w:rsidRDefault="00652312">
                  <w:pPr>
                    <w:pStyle w:val="FreeFormA"/>
                    <w:spacing w:line="192" w:lineRule="auto"/>
                    <w:rPr>
                      <w:sz w:val="16"/>
                      <w:szCs w:val="16"/>
                    </w:rPr>
                  </w:pPr>
                  <w:r w:rsidRPr="00652312">
                    <w:rPr>
                      <w:sz w:val="16"/>
                      <w:szCs w:val="16"/>
                    </w:rPr>
                    <w:t>PO Box 61809</w:t>
                  </w:r>
                </w:p>
                <w:p w:rsidR="00652312" w:rsidRPr="00652312" w:rsidRDefault="00652312">
                  <w:pPr>
                    <w:pStyle w:val="FreeFormA"/>
                    <w:spacing w:line="192" w:lineRule="auto"/>
                    <w:rPr>
                      <w:rFonts w:eastAsia="Times New Roman"/>
                      <w:color w:val="auto"/>
                      <w:sz w:val="16"/>
                      <w:szCs w:val="16"/>
                    </w:rPr>
                  </w:pPr>
                  <w:r w:rsidRPr="00652312">
                    <w:rPr>
                      <w:sz w:val="16"/>
                      <w:szCs w:val="16"/>
                    </w:rPr>
                    <w:t>Marshalltown 2107</w:t>
                  </w:r>
                </w:p>
              </w:txbxContent>
            </v:textbox>
            <w10:wrap anchorx="page" anchory="page"/>
          </v:rect>
        </w:pict>
      </w:r>
      <w:r w:rsidR="008D6DDC" w:rsidRPr="007D1013">
        <w:rPr>
          <w:b/>
          <w:bCs/>
        </w:rPr>
        <w:t xml:space="preserve">INTRODUCTION </w:t>
      </w:r>
    </w:p>
    <w:p w:rsidR="008D6DDC" w:rsidRPr="007D1013" w:rsidRDefault="008D6DDC" w:rsidP="005C7C64">
      <w:pPr>
        <w:jc w:val="both"/>
      </w:pPr>
    </w:p>
    <w:p w:rsidR="00F7020C" w:rsidRPr="00A17032" w:rsidRDefault="00F7020C" w:rsidP="00F7020C">
      <w:pPr>
        <w:spacing w:after="120"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Best practice for prevention of Noise-induced hearing loss (NIHL) requires that if workers are exposed to noise levels above the action limit for noise exposure (this action limit varies from country to country), in South Africa 82dBA(TWA8hrs), then an effective </w:t>
      </w:r>
      <w:r w:rsidRPr="00A17032">
        <w:rPr>
          <w:rFonts w:ascii="Arial" w:eastAsiaTheme="minorHAnsi" w:hAnsi="Arial" w:cs="Arial"/>
          <w:b/>
          <w:i/>
          <w:sz w:val="20"/>
          <w:szCs w:val="20"/>
          <w:lang w:val="en-ZA" w:eastAsia="en-GB"/>
        </w:rPr>
        <w:t>Hearing Conservation Programme</w:t>
      </w:r>
      <w:r w:rsidRPr="004A131F">
        <w:rPr>
          <w:rFonts w:ascii="Arial" w:hAnsi="Arial" w:cs="Arial"/>
          <w:b/>
          <w:lang w:val="en-ZA"/>
        </w:rPr>
        <w:t xml:space="preserve"> </w:t>
      </w:r>
      <w:r w:rsidRPr="00A17032">
        <w:rPr>
          <w:rFonts w:ascii="Arial" w:eastAsiaTheme="minorHAnsi" w:hAnsi="Arial" w:cs="Arial"/>
          <w:sz w:val="20"/>
          <w:szCs w:val="20"/>
          <w:lang w:val="en-ZA" w:eastAsia="en-GB"/>
        </w:rPr>
        <w:t>(HCP) must be implemented.</w:t>
      </w:r>
    </w:p>
    <w:p w:rsidR="00F7020C" w:rsidRPr="00A17032" w:rsidRDefault="00F7020C" w:rsidP="00F7020C">
      <w:pPr>
        <w:spacing w:after="120"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The first milestone for noise which should have been met by the end of 2008 required that the mining industry’s </w:t>
      </w:r>
      <w:r w:rsidRPr="00A17032">
        <w:rPr>
          <w:rFonts w:ascii="Arial" w:eastAsiaTheme="minorHAnsi" w:hAnsi="Arial" w:cs="Arial"/>
          <w:b/>
          <w:i/>
          <w:sz w:val="20"/>
          <w:szCs w:val="20"/>
          <w:lang w:val="en-ZA" w:eastAsia="en-GB"/>
        </w:rPr>
        <w:t xml:space="preserve">HCPs </w:t>
      </w:r>
      <w:r w:rsidRPr="00A17032">
        <w:rPr>
          <w:rFonts w:ascii="Arial" w:eastAsiaTheme="minorHAnsi" w:hAnsi="Arial" w:cs="Arial"/>
          <w:sz w:val="20"/>
          <w:szCs w:val="20"/>
          <w:lang w:val="en-ZA" w:eastAsia="en-GB"/>
        </w:rPr>
        <w:t>prevent any deterioration in hearing greater than 10% PLH (percentage loss of hearing).</w:t>
      </w:r>
    </w:p>
    <w:p w:rsidR="00F7020C" w:rsidRDefault="00F7020C" w:rsidP="00F7020C">
      <w:pPr>
        <w:spacing w:after="120" w:line="360" w:lineRule="auto"/>
        <w:jc w:val="both"/>
        <w:rPr>
          <w:rFonts w:ascii="Arial" w:hAnsi="Arial" w:cs="Arial"/>
          <w:lang w:val="en-ZA"/>
        </w:rPr>
      </w:pPr>
      <w:r w:rsidRPr="00A17032">
        <w:rPr>
          <w:rFonts w:ascii="Arial" w:eastAsiaTheme="minorHAnsi" w:hAnsi="Arial" w:cs="Arial"/>
          <w:sz w:val="20"/>
          <w:szCs w:val="20"/>
          <w:lang w:val="en-ZA" w:eastAsia="en-GB"/>
        </w:rPr>
        <w:t>The second milestone for noise is to limit workplace noise to no more than 110 dBA by December 2013, but in some workplaces getting the total noise down to 110 dBA will require new machinery designs or, at the very least, extensive retrofits, and that will clearly take time and will be costly.  So in the interim, employers’</w:t>
      </w:r>
      <w:r w:rsidRPr="003E77B4">
        <w:rPr>
          <w:rFonts w:ascii="Arial" w:hAnsi="Arial" w:cs="Arial"/>
          <w:lang w:val="en-ZA"/>
        </w:rPr>
        <w:t xml:space="preserve"> </w:t>
      </w:r>
      <w:r w:rsidRPr="00A17032">
        <w:rPr>
          <w:rFonts w:ascii="Arial" w:eastAsiaTheme="minorHAnsi" w:hAnsi="Arial" w:cs="Arial"/>
          <w:b/>
          <w:i/>
          <w:sz w:val="20"/>
          <w:szCs w:val="20"/>
          <w:lang w:val="en-ZA" w:eastAsia="en-GB"/>
        </w:rPr>
        <w:t xml:space="preserve">HCPs </w:t>
      </w:r>
      <w:r w:rsidRPr="00A17032">
        <w:rPr>
          <w:rFonts w:ascii="Arial" w:eastAsiaTheme="minorHAnsi" w:hAnsi="Arial" w:cs="Arial"/>
          <w:sz w:val="20"/>
          <w:szCs w:val="20"/>
          <w:lang w:val="en-ZA" w:eastAsia="en-GB"/>
        </w:rPr>
        <w:t>effectiveness must be a priority to eliminate the incidence of NIHL. HCP effectiveness depends on how well the programme is managed and coordinated.</w:t>
      </w:r>
    </w:p>
    <w:p w:rsidR="00F7020C" w:rsidRPr="00A17032" w:rsidRDefault="00F7020C" w:rsidP="00F7020C">
      <w:pPr>
        <w:spacing w:after="120" w:line="360" w:lineRule="auto"/>
        <w:jc w:val="both"/>
        <w:rPr>
          <w:rFonts w:ascii="Arial" w:eastAsiaTheme="minorHAnsi" w:hAnsi="Arial" w:cs="Arial"/>
          <w:b/>
          <w:sz w:val="20"/>
          <w:szCs w:val="20"/>
          <w:lang w:val="en-ZA" w:eastAsia="en-GB"/>
        </w:rPr>
      </w:pPr>
      <w:r w:rsidRPr="00A17032">
        <w:rPr>
          <w:rFonts w:ascii="Arial" w:eastAsiaTheme="minorHAnsi" w:hAnsi="Arial" w:cs="Arial"/>
          <w:b/>
          <w:sz w:val="20"/>
          <w:szCs w:val="20"/>
          <w:lang w:val="en-ZA" w:eastAsia="en-GB"/>
        </w:rPr>
        <w:t>Best practice in Hearing Conservation Programmes - Developed countries approaches to management of NIHL</w:t>
      </w:r>
    </w:p>
    <w:p w:rsidR="00F7020C" w:rsidRPr="00A17032" w:rsidRDefault="00F7020C" w:rsidP="00F7020C">
      <w:p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All developed countries adhere to a policy of Hearing Conservation when workers are exposed to noise levels above the accepted occupational exposure level.</w:t>
      </w:r>
    </w:p>
    <w:p w:rsidR="00F7020C" w:rsidRPr="00A17032" w:rsidRDefault="00F7020C" w:rsidP="00F7020C">
      <w:pPr>
        <w:spacing w:line="360" w:lineRule="auto"/>
        <w:jc w:val="both"/>
        <w:rPr>
          <w:rFonts w:ascii="Arial" w:eastAsiaTheme="minorHAnsi" w:hAnsi="Arial" w:cs="Arial"/>
          <w:sz w:val="20"/>
          <w:szCs w:val="20"/>
          <w:lang w:val="en-ZA" w:eastAsia="en-GB"/>
        </w:rPr>
      </w:pPr>
      <w:r w:rsidRPr="00A17032">
        <w:rPr>
          <w:rFonts w:ascii="Arial" w:eastAsiaTheme="minorHAnsi" w:hAnsi="Arial" w:cs="Arial"/>
          <w:i/>
          <w:sz w:val="20"/>
          <w:szCs w:val="20"/>
          <w:lang w:val="en-ZA" w:eastAsia="en-GB"/>
        </w:rPr>
        <w:t>Do these Hearing Conservation Programmes work? Do they prevent Noise-induced hearing loss?</w:t>
      </w:r>
      <w:r w:rsidRPr="000B48E3">
        <w:rPr>
          <w:rFonts w:ascii="Arial" w:hAnsi="Arial" w:cs="Arial"/>
        </w:rPr>
        <w:t xml:space="preserve"> </w:t>
      </w:r>
      <w:r w:rsidRPr="00A17032">
        <w:rPr>
          <w:rFonts w:ascii="Arial" w:eastAsiaTheme="minorHAnsi" w:hAnsi="Arial" w:cs="Arial"/>
          <w:sz w:val="20"/>
          <w:szCs w:val="20"/>
          <w:lang w:val="en-ZA" w:eastAsia="en-GB"/>
        </w:rPr>
        <w:t>In the case where all the elements of an HCP (Noise measurement and noise control engineering, audiogram and other hearing measurement, effective education, motivation and training monitoring and evaluation through leading indicators) are properly implemented and the information from each department is integrated to ensure that the information is used efficiently to continually improve the HCP through evaluation and monitoring and action. This requires an integrated and multi disciplinary approach to the HCP.</w:t>
      </w:r>
    </w:p>
    <w:p w:rsidR="00F7020C" w:rsidRPr="00A17032" w:rsidRDefault="00F7020C" w:rsidP="00F7020C">
      <w:p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In the South African mining industry (SAMI) we do have sections of each of the important elements of a HCP. However, there not properly integrated hence it appears as if the industry is </w:t>
      </w:r>
      <w:proofErr w:type="spellStart"/>
      <w:r w:rsidRPr="00A17032">
        <w:rPr>
          <w:rFonts w:ascii="Arial" w:eastAsiaTheme="minorHAnsi" w:hAnsi="Arial" w:cs="Arial"/>
          <w:sz w:val="20"/>
          <w:szCs w:val="20"/>
          <w:lang w:val="en-ZA" w:eastAsia="en-GB"/>
        </w:rPr>
        <w:t>emphasising</w:t>
      </w:r>
      <w:proofErr w:type="spellEnd"/>
      <w:r w:rsidRPr="00A17032">
        <w:rPr>
          <w:rFonts w:ascii="Arial" w:eastAsiaTheme="minorHAnsi" w:hAnsi="Arial" w:cs="Arial"/>
          <w:sz w:val="20"/>
          <w:szCs w:val="20"/>
          <w:lang w:val="en-ZA" w:eastAsia="en-GB"/>
        </w:rPr>
        <w:t xml:space="preserve"> on measuring and not on monitoring nor on action. It also appears as if the elements of the HCP that we do </w:t>
      </w:r>
      <w:r w:rsidRPr="00A17032">
        <w:rPr>
          <w:rFonts w:ascii="Arial" w:eastAsiaTheme="minorHAnsi" w:hAnsi="Arial" w:cs="Arial"/>
          <w:sz w:val="20"/>
          <w:szCs w:val="20"/>
          <w:lang w:val="en-ZA" w:eastAsia="en-GB"/>
        </w:rPr>
        <w:lastRenderedPageBreak/>
        <w:t>have are not implemented with conservation in mind (and with the whole programme in mind) but with compliance and prevention of compensation in mind.</w:t>
      </w:r>
    </w:p>
    <w:p w:rsidR="00F7020C" w:rsidRPr="00A17032" w:rsidRDefault="00F7020C" w:rsidP="00F7020C">
      <w:pPr>
        <w:spacing w:line="360" w:lineRule="auto"/>
        <w:jc w:val="both"/>
        <w:rPr>
          <w:rFonts w:ascii="Arial" w:eastAsiaTheme="minorHAnsi" w:hAnsi="Arial" w:cs="Arial"/>
          <w:b/>
          <w:sz w:val="20"/>
          <w:szCs w:val="20"/>
          <w:lang w:val="en-ZA" w:eastAsia="en-GB"/>
        </w:rPr>
      </w:pPr>
      <w:r w:rsidRPr="00A17032">
        <w:rPr>
          <w:rFonts w:ascii="Arial" w:eastAsiaTheme="minorHAnsi" w:hAnsi="Arial" w:cs="Arial"/>
          <w:b/>
          <w:sz w:val="20"/>
          <w:szCs w:val="20"/>
          <w:lang w:val="en-ZA" w:eastAsia="en-GB"/>
        </w:rPr>
        <w:t>What are the gaps in HCPs in the South African Mining Industry?</w:t>
      </w:r>
    </w:p>
    <w:p w:rsidR="00F7020C" w:rsidRPr="00A17032" w:rsidRDefault="00F7020C" w:rsidP="00F7020C">
      <w:pPr>
        <w:pStyle w:val="ListParagraph"/>
        <w:numPr>
          <w:ilvl w:val="0"/>
          <w:numId w:val="14"/>
        </w:num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Lack of industry-wide, </w:t>
      </w:r>
      <w:proofErr w:type="spellStart"/>
      <w:r w:rsidRPr="00A17032">
        <w:rPr>
          <w:rFonts w:ascii="Arial" w:eastAsiaTheme="minorHAnsi" w:hAnsi="Arial" w:cs="Arial"/>
          <w:sz w:val="20"/>
          <w:szCs w:val="20"/>
          <w:lang w:val="en-ZA" w:eastAsia="en-GB"/>
        </w:rPr>
        <w:t>standardised</w:t>
      </w:r>
      <w:proofErr w:type="spellEnd"/>
      <w:r w:rsidRPr="00A17032">
        <w:rPr>
          <w:rFonts w:ascii="Arial" w:eastAsiaTheme="minorHAnsi" w:hAnsi="Arial" w:cs="Arial"/>
          <w:sz w:val="20"/>
          <w:szCs w:val="20"/>
          <w:lang w:val="en-ZA" w:eastAsia="en-GB"/>
        </w:rPr>
        <w:t xml:space="preserve"> way of independently auditing of HCP- by experts and using </w:t>
      </w:r>
      <w:proofErr w:type="spellStart"/>
      <w:r w:rsidRPr="00A17032">
        <w:rPr>
          <w:rFonts w:ascii="Arial" w:eastAsiaTheme="minorHAnsi" w:hAnsi="Arial" w:cs="Arial"/>
          <w:sz w:val="20"/>
          <w:szCs w:val="20"/>
          <w:lang w:val="en-ZA" w:eastAsia="en-GB"/>
        </w:rPr>
        <w:t>standardised</w:t>
      </w:r>
      <w:proofErr w:type="spellEnd"/>
      <w:r w:rsidRPr="00A17032">
        <w:rPr>
          <w:rFonts w:ascii="Arial" w:eastAsiaTheme="minorHAnsi" w:hAnsi="Arial" w:cs="Arial"/>
          <w:sz w:val="20"/>
          <w:szCs w:val="20"/>
          <w:lang w:val="en-ZA" w:eastAsia="en-GB"/>
        </w:rPr>
        <w:t xml:space="preserve"> checklists.</w:t>
      </w:r>
    </w:p>
    <w:p w:rsidR="00F7020C" w:rsidRPr="00A17032" w:rsidRDefault="00F7020C" w:rsidP="00F7020C">
      <w:pPr>
        <w:pStyle w:val="ListParagraph"/>
        <w:numPr>
          <w:ilvl w:val="0"/>
          <w:numId w:val="14"/>
        </w:num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Analysis of the audiogram databases from the medical surveillance. We only record the PLH shift in compliance with regulation. This not enough as PLH is an index that is based on weighted scores that do not indicate early enough the development of hearing loss so that prevention measures can be put in place.</w:t>
      </w:r>
    </w:p>
    <w:p w:rsidR="00F7020C" w:rsidRPr="00A17032" w:rsidRDefault="00F7020C" w:rsidP="00F7020C">
      <w:pPr>
        <w:pStyle w:val="ListParagraph"/>
        <w:numPr>
          <w:ilvl w:val="0"/>
          <w:numId w:val="14"/>
        </w:num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Free flow of information from one department to another-e.g. the noise exposure levels may be available in the medical records for the doctor to see but the audiograms are never available for the Occupational Hygiene department to see the effects of any </w:t>
      </w:r>
      <w:proofErr w:type="spellStart"/>
      <w:r w:rsidRPr="00A17032">
        <w:rPr>
          <w:rFonts w:ascii="Arial" w:eastAsiaTheme="minorHAnsi" w:hAnsi="Arial" w:cs="Arial"/>
          <w:sz w:val="20"/>
          <w:szCs w:val="20"/>
          <w:lang w:val="en-ZA" w:eastAsia="en-GB"/>
        </w:rPr>
        <w:t>programmes</w:t>
      </w:r>
      <w:proofErr w:type="spellEnd"/>
      <w:r w:rsidRPr="00A17032">
        <w:rPr>
          <w:rFonts w:ascii="Arial" w:eastAsiaTheme="minorHAnsi" w:hAnsi="Arial" w:cs="Arial"/>
          <w:sz w:val="20"/>
          <w:szCs w:val="20"/>
          <w:lang w:val="en-ZA" w:eastAsia="en-GB"/>
        </w:rPr>
        <w:t xml:space="preserve"> that they have in place. If information from Occupational Health is available to the Occupational Hygiene department, it is in the format of PLH shift- a lagging indicator after the event. If relevant information is wanted the threshold changes at important frequencies must be used. Furthermore free flow of information must be from the Training department and the Hearing Protection device and the effects of these interventions are not available to all departments nor used effectively for continual improvement.</w:t>
      </w:r>
    </w:p>
    <w:p w:rsidR="00F7020C" w:rsidRPr="00A17032" w:rsidRDefault="00F7020C" w:rsidP="00F7020C">
      <w:pPr>
        <w:pStyle w:val="ListParagraph"/>
        <w:numPr>
          <w:ilvl w:val="0"/>
          <w:numId w:val="14"/>
        </w:numPr>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 xml:space="preserve">Leading indicators are not used effectively if at all. </w:t>
      </w:r>
    </w:p>
    <w:p w:rsidR="00F7020C" w:rsidRPr="00A17032" w:rsidRDefault="00F7020C" w:rsidP="00F7020C">
      <w:pPr>
        <w:pStyle w:val="ListParagraph"/>
        <w:spacing w:line="360" w:lineRule="auto"/>
        <w:jc w:val="both"/>
        <w:rPr>
          <w:rFonts w:ascii="Arial" w:eastAsiaTheme="minorHAnsi" w:hAnsi="Arial" w:cs="Arial"/>
          <w:sz w:val="20"/>
          <w:szCs w:val="20"/>
          <w:lang w:val="en-ZA" w:eastAsia="en-GB"/>
        </w:rPr>
      </w:pPr>
      <w:proofErr w:type="gramStart"/>
      <w:r w:rsidRPr="00A17032">
        <w:rPr>
          <w:rFonts w:ascii="Arial" w:eastAsiaTheme="minorHAnsi" w:hAnsi="Arial" w:cs="Arial"/>
          <w:sz w:val="20"/>
          <w:szCs w:val="20"/>
          <w:lang w:val="en-ZA" w:eastAsia="en-GB"/>
        </w:rPr>
        <w:t>e.g</w:t>
      </w:r>
      <w:proofErr w:type="gramEnd"/>
      <w:r w:rsidRPr="00A17032">
        <w:rPr>
          <w:rFonts w:ascii="Arial" w:eastAsiaTheme="minorHAnsi" w:hAnsi="Arial" w:cs="Arial"/>
          <w:sz w:val="20"/>
          <w:szCs w:val="20"/>
          <w:lang w:val="en-ZA" w:eastAsia="en-GB"/>
        </w:rPr>
        <w:t>. How many workers had threshold shifts of more than 10 dB at two or more frequencies? What early indicators of NIHL are used and what action is taken if identified? How are workers motivated to wear HPDs? Is training effective and relevant for each worker? Is an individual approach to Hearing conservation used to ensure that individual susceptibility is managed?</w:t>
      </w:r>
    </w:p>
    <w:p w:rsidR="00F7020C" w:rsidRPr="00A17032" w:rsidRDefault="00F7020C" w:rsidP="00F7020C">
      <w:pPr>
        <w:pStyle w:val="ListParagraph"/>
        <w:spacing w:line="360" w:lineRule="auto"/>
        <w:jc w:val="both"/>
        <w:rPr>
          <w:rFonts w:ascii="Arial" w:eastAsiaTheme="minorHAnsi" w:hAnsi="Arial" w:cs="Arial"/>
          <w:sz w:val="20"/>
          <w:szCs w:val="20"/>
          <w:lang w:val="en-ZA" w:eastAsia="en-GB"/>
        </w:rPr>
      </w:pPr>
    </w:p>
    <w:p w:rsidR="00F7020C" w:rsidRPr="00A17032" w:rsidRDefault="00F7020C" w:rsidP="00F7020C">
      <w:pPr>
        <w:pStyle w:val="ListParagraph"/>
        <w:spacing w:line="360" w:lineRule="auto"/>
        <w:jc w:val="both"/>
        <w:rPr>
          <w:rFonts w:ascii="Arial" w:eastAsiaTheme="minorHAnsi" w:hAnsi="Arial" w:cs="Arial"/>
          <w:sz w:val="20"/>
          <w:szCs w:val="20"/>
          <w:lang w:val="en-ZA" w:eastAsia="en-GB"/>
        </w:rPr>
      </w:pPr>
      <w:r w:rsidRPr="00A17032">
        <w:rPr>
          <w:rFonts w:ascii="Arial" w:eastAsiaTheme="minorHAnsi" w:hAnsi="Arial" w:cs="Arial"/>
          <w:sz w:val="20"/>
          <w:szCs w:val="20"/>
          <w:lang w:val="en-ZA" w:eastAsia="en-GB"/>
        </w:rPr>
        <w:t>The solution is to improve the quality of what is currently being done for NIHL prevention by ensuring that all elements of an HCP are being done correctly and effectively.</w:t>
      </w:r>
    </w:p>
    <w:p w:rsidR="00F7020C" w:rsidRPr="00A17032" w:rsidRDefault="00F7020C" w:rsidP="00A17032">
      <w:pPr>
        <w:pStyle w:val="SIMRACbodytext"/>
        <w:rPr>
          <w:b/>
        </w:rPr>
      </w:pPr>
      <w:r w:rsidRPr="00A17032">
        <w:rPr>
          <w:b/>
        </w:rPr>
        <w:t>South African Context to NIHL</w:t>
      </w:r>
    </w:p>
    <w:p w:rsidR="00F7020C" w:rsidRPr="00461664" w:rsidRDefault="00F7020C" w:rsidP="00A17032">
      <w:pPr>
        <w:pStyle w:val="SIMRACbodytext"/>
      </w:pPr>
      <w:r w:rsidRPr="00461664">
        <w:t xml:space="preserve">There have been six main studies </w:t>
      </w:r>
      <w:r>
        <w:t xml:space="preserve">funded by the </w:t>
      </w:r>
      <w:r w:rsidRPr="00461664">
        <w:t xml:space="preserve">Mine Health and Safety Council’s research committee SIMRAC that have conducted in-depth investigations of the international practices for the management of NIHL and have as a result of these studies outlined best practice for NIHL prevention and risk management that is relevant to the South African mining industry. The first of these projects, in 1997, the GEN 011 project, developed awareness, education and motivational materials for NIHL prevention as well as a Hearing Protection Device (HPD)-selection tool. The second project, Health 806 in 2005, provided the industry with an in-depth description of how to implement an effective HCP. Thirdly, in 2006 and 2007 the noise exposure baseline study SIM 06-06-01 measured the levels of exposure of miners and developed a detailed audit tool for companies to check their HCPs. Fourthly, in 2009, the SIM 05-05-01 project updated the awareness, education and motivational materials and the HPD tables developed in 1997 for relevance to the modern era. Fifthly in 2010, the SIm10-06-01project streamlined the audit tools into user-friendly checklists and developed training materials for the information of the audit tool users.  Finally in 2011, the SIM 11-05-01 evaluated the training practices of mines for NIHL prevention and developed an </w:t>
      </w:r>
      <w:proofErr w:type="spellStart"/>
      <w:r w:rsidRPr="00461664">
        <w:t>ebook</w:t>
      </w:r>
      <w:proofErr w:type="spellEnd"/>
      <w:r w:rsidRPr="00461664">
        <w:t xml:space="preserve"> Compendium of Resources for the prevention of NIHL.</w:t>
      </w:r>
    </w:p>
    <w:p w:rsidR="00F7020C" w:rsidRPr="00461664" w:rsidRDefault="00F7020C" w:rsidP="00A17032">
      <w:pPr>
        <w:pStyle w:val="SIMRACbodytext"/>
      </w:pPr>
      <w:r w:rsidRPr="00461664">
        <w:t xml:space="preserve">Highlights of the recommendations made by these NIHL prevention studies are: </w:t>
      </w:r>
    </w:p>
    <w:p w:rsidR="00A17032" w:rsidRPr="00A84C10" w:rsidRDefault="00F7020C" w:rsidP="00A17032">
      <w:pPr>
        <w:pStyle w:val="ListParagraph"/>
        <w:numPr>
          <w:ilvl w:val="0"/>
          <w:numId w:val="15"/>
        </w:numPr>
        <w:spacing w:after="120" w:line="360" w:lineRule="auto"/>
        <w:contextualSpacing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lastRenderedPageBreak/>
        <w:t>There needs to be direct involvement of mine management in controlling the HCP and promoting its constituent elements and initiatives;</w:t>
      </w:r>
    </w:p>
    <w:p w:rsidR="00A17032" w:rsidRPr="00A84C10" w:rsidRDefault="00F7020C" w:rsidP="00A17032">
      <w:pPr>
        <w:pStyle w:val="ListParagraph"/>
        <w:numPr>
          <w:ilvl w:val="0"/>
          <w:numId w:val="15"/>
        </w:numPr>
        <w:spacing w:after="120" w:line="360" w:lineRule="auto"/>
        <w:ind w:left="650" w:hanging="357"/>
        <w:contextualSpacing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Critical review and evaluation of HCP elements by management, focusing on appropriate key performance indicators and ensuring accountability for each is essential for effective NIHL prevention;</w:t>
      </w:r>
    </w:p>
    <w:p w:rsidR="00F7020C" w:rsidRPr="00A84C10" w:rsidRDefault="00F7020C" w:rsidP="00A17032">
      <w:pPr>
        <w:pStyle w:val="ListParagraph"/>
        <w:numPr>
          <w:ilvl w:val="0"/>
          <w:numId w:val="15"/>
        </w:numPr>
        <w:spacing w:after="120" w:line="360" w:lineRule="auto"/>
        <w:ind w:left="650" w:hanging="357"/>
        <w:contextualSpacing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Adequate provision for education, motivation and training to support the personal protection strategy by promoting a culture of self-actuated HPD compliance must be available;</w:t>
      </w:r>
    </w:p>
    <w:p w:rsidR="00F7020C" w:rsidRPr="00A84C10" w:rsidRDefault="00F7020C" w:rsidP="00A17032">
      <w:pPr>
        <w:pStyle w:val="ListParagraph"/>
        <w:numPr>
          <w:ilvl w:val="0"/>
          <w:numId w:val="15"/>
        </w:numPr>
        <w:spacing w:after="120" w:line="360" w:lineRule="auto"/>
        <w:ind w:left="650" w:hanging="357"/>
        <w:contextualSpacing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A strong recommendation for the expansion of the role of Occupational Health (OH) in the HCP through:</w:t>
      </w:r>
    </w:p>
    <w:p w:rsidR="00F7020C" w:rsidRPr="00A84C10" w:rsidRDefault="00F7020C" w:rsidP="00A17032">
      <w:pPr>
        <w:numPr>
          <w:ilvl w:val="0"/>
          <w:numId w:val="13"/>
        </w:numPr>
        <w:tabs>
          <w:tab w:val="clear" w:pos="1074"/>
          <w:tab w:val="num" w:pos="1010"/>
        </w:tabs>
        <w:spacing w:after="120" w:line="360" w:lineRule="auto"/>
        <w:ind w:left="101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Direct input into education, motivation and training, in collaboration with Training/Human Resource Development departments;</w:t>
      </w:r>
    </w:p>
    <w:p w:rsidR="00F7020C" w:rsidRPr="00A84C10" w:rsidRDefault="00F7020C" w:rsidP="00A17032">
      <w:pPr>
        <w:numPr>
          <w:ilvl w:val="0"/>
          <w:numId w:val="13"/>
        </w:numPr>
        <w:tabs>
          <w:tab w:val="clear" w:pos="1074"/>
          <w:tab w:val="num" w:pos="1010"/>
        </w:tabs>
        <w:spacing w:after="120" w:line="360" w:lineRule="auto"/>
        <w:ind w:left="101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Post-exposure monitoring for high-risk occupations and individuals with deterioration, to evaluate HPD effectiveness in advance of permanent hearing loss or impairment;</w:t>
      </w:r>
    </w:p>
    <w:p w:rsidR="00F7020C" w:rsidRPr="00A84C10" w:rsidRDefault="00F7020C" w:rsidP="00A17032">
      <w:pPr>
        <w:numPr>
          <w:ilvl w:val="0"/>
          <w:numId w:val="13"/>
        </w:numPr>
        <w:tabs>
          <w:tab w:val="clear" w:pos="1074"/>
          <w:tab w:val="num" w:pos="1010"/>
        </w:tabs>
        <w:spacing w:after="120" w:line="360" w:lineRule="auto"/>
        <w:ind w:left="101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More detailed analysis of medical surveillance and monitoring results to highlight risks on the basis of occupation/activity area/department/HPDs used, in this way facilitating targeted interventions; </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The functional structure of a Hearing Conservation Programme is</w:t>
      </w:r>
    </w:p>
    <w:p w:rsidR="00F7020C" w:rsidRPr="00A17032" w:rsidRDefault="00F7020C" w:rsidP="00F7020C">
      <w:pPr>
        <w:spacing w:line="360" w:lineRule="auto"/>
        <w:rPr>
          <w:rFonts w:ascii="Arial" w:eastAsia="Calibri" w:hAnsi="Arial" w:cs="Arial"/>
          <w:sz w:val="22"/>
          <w:szCs w:val="22"/>
        </w:rPr>
      </w:pPr>
      <w:r w:rsidRPr="00A17032">
        <w:rPr>
          <w:rFonts w:ascii="Arial" w:eastAsia="Calibri" w:hAnsi="Arial" w:cs="Arial"/>
          <w:sz w:val="22"/>
          <w:szCs w:val="22"/>
        </w:rPr>
        <w:drawing>
          <wp:inline distT="0" distB="0" distL="0" distR="0">
            <wp:extent cx="5731510" cy="4248150"/>
            <wp:effectExtent l="19050" t="0" r="2540" b="0"/>
            <wp:docPr id="1"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11888" cy="5851525"/>
                      <a:chOff x="9017296" y="404813"/>
                      <a:chExt cx="6211888" cy="5851525"/>
                    </a:xfrm>
                  </a:grpSpPr>
                  <a:grpSp>
                    <a:nvGrpSpPr>
                      <a:cNvPr id="49" name="Group 48"/>
                      <a:cNvGrpSpPr/>
                    </a:nvGrpSpPr>
                    <a:grpSpPr>
                      <a:xfrm>
                        <a:off x="9017296" y="404813"/>
                        <a:ext cx="6211888" cy="5851525"/>
                        <a:chOff x="1854200" y="404813"/>
                        <a:chExt cx="6211888" cy="5851525"/>
                      </a:xfrm>
                    </a:grpSpPr>
                    <a:sp>
                      <a:nvSpPr>
                        <a:cNvPr id="3074" name="Line 2"/>
                        <a:cNvSpPr>
                          <a:spLocks noChangeShapeType="1"/>
                        </a:cNvSpPr>
                      </a:nvSpPr>
                      <a:spPr bwMode="auto">
                        <a:xfrm>
                          <a:off x="7340600" y="2519363"/>
                          <a:ext cx="228600" cy="0"/>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75" name="Line 3"/>
                        <a:cNvSpPr>
                          <a:spLocks noChangeShapeType="1"/>
                        </a:cNvSpPr>
                      </a:nvSpPr>
                      <a:spPr bwMode="auto">
                        <a:xfrm>
                          <a:off x="6184900" y="4711700"/>
                          <a:ext cx="0" cy="307975"/>
                        </a:xfrm>
                        <a:prstGeom prst="line">
                          <a:avLst/>
                        </a:prstGeom>
                        <a:noFill/>
                        <a:ln w="9525">
                          <a:solidFill>
                            <a:schemeClr val="tx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76" name="Text Box 4"/>
                        <a:cNvSpPr txBox="1">
                          <a:spLocks noChangeArrowheads="1"/>
                        </a:cNvSpPr>
                      </a:nvSpPr>
                      <a:spPr bwMode="auto">
                        <a:xfrm>
                          <a:off x="3568700" y="404813"/>
                          <a:ext cx="1943100" cy="517525"/>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300">
                                <a:solidFill>
                                  <a:schemeClr val="tx2"/>
                                </a:solidFill>
                              </a:rPr>
                              <a:t>Risk assessment by Occupational Hygienist</a:t>
                            </a:r>
                            <a:endParaRPr lang="en-GB" sz="1300">
                              <a:solidFill>
                                <a:schemeClr val="tx2"/>
                              </a:solidFill>
                              <a:latin typeface="Times New Roman" pitchFamily="18" charset="0"/>
                            </a:endParaRPr>
                          </a:p>
                        </a:txBody>
                        <a:useSpRect/>
                      </a:txSp>
                    </a:sp>
                    <a:sp>
                      <a:nvSpPr>
                        <a:cNvPr id="3077" name="Text Box 5"/>
                        <a:cNvSpPr txBox="1">
                          <a:spLocks noChangeArrowheads="1"/>
                        </a:cNvSpPr>
                      </a:nvSpPr>
                      <a:spPr bwMode="auto">
                        <a:xfrm>
                          <a:off x="4854575" y="1527175"/>
                          <a:ext cx="3211513" cy="630238"/>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a:solidFill>
                                  <a:schemeClr val="tx2"/>
                                </a:solidFill>
                              </a:rPr>
                              <a:t>Implement/Revise HCP under authority of H&amp;S Committee, with measures to ensure </a:t>
                            </a:r>
                            <a:r>
                              <a:rPr lang="en-US" sz="1200" b="1" u="sng">
                                <a:solidFill>
                                  <a:schemeClr val="tx2"/>
                                </a:solidFill>
                              </a:rPr>
                              <a:t>Control and Accountability</a:t>
                            </a:r>
                            <a:r>
                              <a:rPr lang="en-US" sz="1200">
                                <a:solidFill>
                                  <a:schemeClr val="tx2"/>
                                </a:solidFill>
                              </a:rPr>
                              <a:t> for all aspects</a:t>
                            </a:r>
                            <a:endParaRPr lang="en-GB" sz="1200">
                              <a:solidFill>
                                <a:schemeClr val="tx2"/>
                              </a:solidFill>
                              <a:latin typeface="Times New Roman" pitchFamily="18" charset="0"/>
                            </a:endParaRPr>
                          </a:p>
                        </a:txBody>
                        <a:useSpRect/>
                      </a:txSp>
                    </a:sp>
                    <a:sp>
                      <a:nvSpPr>
                        <a:cNvPr id="3078" name="Text Box 6"/>
                        <a:cNvSpPr txBox="1">
                          <a:spLocks noChangeArrowheads="1"/>
                        </a:cNvSpPr>
                      </a:nvSpPr>
                      <a:spPr bwMode="auto">
                        <a:xfrm>
                          <a:off x="5472113" y="3006725"/>
                          <a:ext cx="1601787" cy="503238"/>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400" dirty="0">
                                <a:solidFill>
                                  <a:schemeClr val="tx2"/>
                                </a:solidFill>
                              </a:rPr>
                              <a:t>Engineering controls</a:t>
                            </a:r>
                            <a:endParaRPr lang="en-GB" sz="1400" dirty="0">
                              <a:solidFill>
                                <a:schemeClr val="tx2"/>
                              </a:solidFill>
                              <a:latin typeface="Times New Roman" pitchFamily="18" charset="0"/>
                            </a:endParaRPr>
                          </a:p>
                        </a:txBody>
                        <a:useSpRect/>
                      </a:txSp>
                    </a:sp>
                    <a:sp>
                      <a:nvSpPr>
                        <a:cNvPr id="3079" name="Text Box 7"/>
                        <a:cNvSpPr txBox="1">
                          <a:spLocks noChangeArrowheads="1"/>
                        </a:cNvSpPr>
                      </a:nvSpPr>
                      <a:spPr bwMode="auto">
                        <a:xfrm>
                          <a:off x="5472113" y="3690938"/>
                          <a:ext cx="1558925" cy="503237"/>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400">
                                <a:solidFill>
                                  <a:schemeClr val="tx2"/>
                                </a:solidFill>
                              </a:rPr>
                              <a:t>Administrative controls</a:t>
                            </a:r>
                            <a:endParaRPr lang="en-GB" sz="1400">
                              <a:solidFill>
                                <a:schemeClr val="tx2"/>
                              </a:solidFill>
                              <a:latin typeface="Times New Roman" pitchFamily="18" charset="0"/>
                            </a:endParaRPr>
                          </a:p>
                        </a:txBody>
                        <a:useSpRect/>
                      </a:txSp>
                    </a:sp>
                    <a:sp>
                      <a:nvSpPr>
                        <a:cNvPr id="3080" name="Text Box 8"/>
                        <a:cNvSpPr txBox="1">
                          <a:spLocks noChangeArrowheads="1"/>
                        </a:cNvSpPr>
                      </a:nvSpPr>
                      <a:spPr bwMode="auto">
                        <a:xfrm>
                          <a:off x="1998663" y="5248275"/>
                          <a:ext cx="1600200" cy="752475"/>
                        </a:xfrm>
                        <a:prstGeom prst="rect">
                          <a:avLst/>
                        </a:prstGeom>
                        <a:solidFill>
                          <a:schemeClr val="bg1"/>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endParaRPr lang="en-US" sz="300">
                              <a:solidFill>
                                <a:schemeClr val="tx2"/>
                              </a:solidFill>
                            </a:endParaRPr>
                          </a:p>
                          <a:p>
                            <a:pPr algn="ctr" eaLnBrk="0" hangingPunct="0"/>
                            <a:r>
                              <a:rPr lang="en-US" sz="1200">
                                <a:solidFill>
                                  <a:schemeClr val="tx2"/>
                                </a:solidFill>
                              </a:rPr>
                              <a:t>Issue HPDs</a:t>
                            </a:r>
                          </a:p>
                          <a:p>
                            <a:pPr algn="ctr" eaLnBrk="0" hangingPunct="0"/>
                            <a:r>
                              <a:rPr lang="en-US" sz="1200">
                                <a:solidFill>
                                  <a:schemeClr val="tx2"/>
                                </a:solidFill>
                              </a:rPr>
                              <a:t>and</a:t>
                            </a:r>
                          </a:p>
                          <a:p>
                            <a:pPr algn="ctr" eaLnBrk="0" hangingPunct="0"/>
                            <a:r>
                              <a:rPr lang="en-US" sz="1200">
                                <a:solidFill>
                                  <a:schemeClr val="tx2"/>
                                </a:solidFill>
                              </a:rPr>
                              <a:t>Monitor use</a:t>
                            </a:r>
                            <a:endParaRPr lang="en-GB" sz="1200">
                              <a:solidFill>
                                <a:schemeClr val="tx2"/>
                              </a:solidFill>
                              <a:latin typeface="Times New Roman" pitchFamily="18" charset="0"/>
                            </a:endParaRPr>
                          </a:p>
                        </a:txBody>
                        <a:useSpRect/>
                      </a:txSp>
                    </a:sp>
                    <a:sp>
                      <a:nvSpPr>
                        <a:cNvPr id="3081" name="Text Box 9"/>
                        <a:cNvSpPr txBox="1">
                          <a:spLocks noChangeArrowheads="1"/>
                        </a:cNvSpPr>
                      </a:nvSpPr>
                      <a:spPr bwMode="auto">
                        <a:xfrm>
                          <a:off x="3784600" y="1065213"/>
                          <a:ext cx="1485900" cy="215900"/>
                        </a:xfrm>
                        <a:prstGeom prst="rect">
                          <a:avLst/>
                        </a:prstGeom>
                        <a:solidFill>
                          <a:srgbClr val="FFFFFF"/>
                        </a:solidFill>
                        <a:ln w="9525">
                          <a:solidFill>
                            <a:schemeClr val="bg2"/>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lnSpc>
                                <a:spcPct val="80000"/>
                              </a:lnSpc>
                            </a:pPr>
                            <a:r>
                              <a:rPr lang="en-US" sz="1100">
                                <a:solidFill>
                                  <a:schemeClr val="tx2"/>
                                </a:solidFill>
                              </a:rPr>
                              <a:t>If risk is significant:</a:t>
                            </a:r>
                            <a:endParaRPr lang="en-GB" sz="1100">
                              <a:solidFill>
                                <a:schemeClr val="tx2"/>
                              </a:solidFill>
                              <a:latin typeface="Times New Roman" pitchFamily="18" charset="0"/>
                            </a:endParaRPr>
                          </a:p>
                        </a:txBody>
                        <a:useSpRect/>
                      </a:txSp>
                    </a:sp>
                    <a:sp>
                      <a:nvSpPr>
                        <a:cNvPr id="3082" name="Text Box 10"/>
                        <a:cNvSpPr txBox="1">
                          <a:spLocks noChangeArrowheads="1"/>
                        </a:cNvSpPr>
                      </a:nvSpPr>
                      <a:spPr bwMode="auto">
                        <a:xfrm>
                          <a:off x="1998663" y="3089275"/>
                          <a:ext cx="1673225" cy="1708150"/>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lnSpc>
                                <a:spcPct val="85000"/>
                              </a:lnSpc>
                            </a:pPr>
                            <a:r>
                              <a:rPr lang="en-US" sz="1200">
                                <a:solidFill>
                                  <a:schemeClr val="tx2"/>
                                </a:solidFill>
                              </a:rPr>
                              <a:t>Evaluate control measures through:</a:t>
                            </a:r>
                          </a:p>
                          <a:p>
                            <a:pPr algn="ctr" eaLnBrk="0" hangingPunct="0"/>
                            <a:r>
                              <a:rPr lang="en-US" sz="1200">
                                <a:solidFill>
                                  <a:schemeClr val="tx2"/>
                                </a:solidFill>
                              </a:rPr>
                              <a:t>Medical Surveillance</a:t>
                            </a:r>
                          </a:p>
                          <a:p>
                            <a:pPr algn="ctr" eaLnBrk="0" hangingPunct="0"/>
                            <a:r>
                              <a:rPr lang="en-US" sz="1200">
                                <a:solidFill>
                                  <a:schemeClr val="tx2"/>
                                </a:solidFill>
                              </a:rPr>
                              <a:t>and Re-assessment of risks by OH monitoring:</a:t>
                            </a:r>
                          </a:p>
                          <a:p>
                            <a:pPr algn="ctr" eaLnBrk="0" hangingPunct="0"/>
                            <a:r>
                              <a:rPr lang="en-US" sz="1200" b="1">
                                <a:solidFill>
                                  <a:srgbClr val="FF3300"/>
                                </a:solidFill>
                              </a:rPr>
                              <a:t>Use findings to optimise interventions</a:t>
                            </a:r>
                            <a:endParaRPr lang="en-GB" sz="1200" b="1">
                              <a:solidFill>
                                <a:srgbClr val="FF3300"/>
                              </a:solidFill>
                              <a:latin typeface="Times New Roman" pitchFamily="18" charset="0"/>
                            </a:endParaRPr>
                          </a:p>
                        </a:txBody>
                        <a:useSpRect/>
                      </a:txSp>
                    </a:sp>
                    <a:sp>
                      <a:nvSpPr>
                        <a:cNvPr id="3083" name="Text Box 11"/>
                        <a:cNvSpPr txBox="1">
                          <a:spLocks noChangeArrowheads="1"/>
                        </a:cNvSpPr>
                      </a:nvSpPr>
                      <a:spPr bwMode="auto">
                        <a:xfrm>
                          <a:off x="5472113" y="5026025"/>
                          <a:ext cx="1450975" cy="1230313"/>
                        </a:xfrm>
                        <a:prstGeom prst="rect">
                          <a:avLst/>
                        </a:prstGeom>
                        <a:solidFill>
                          <a:schemeClr val="bg1"/>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b="1">
                                <a:solidFill>
                                  <a:schemeClr val="tx2"/>
                                </a:solidFill>
                              </a:rPr>
                              <a:t>RBME</a:t>
                            </a:r>
                            <a:r>
                              <a:rPr lang="en-US" sz="1200">
                                <a:solidFill>
                                  <a:schemeClr val="tx2"/>
                                </a:solidFill>
                              </a:rPr>
                              <a:t>, with</a:t>
                            </a:r>
                          </a:p>
                          <a:p>
                            <a:pPr algn="ctr" eaLnBrk="0" hangingPunct="0"/>
                            <a:r>
                              <a:rPr lang="en-US" sz="1200">
                                <a:solidFill>
                                  <a:schemeClr val="tx2"/>
                                </a:solidFill>
                              </a:rPr>
                              <a:t>Individualised HPD selection and fitment, Supervised by OHP</a:t>
                            </a:r>
                            <a:endParaRPr lang="en-GB" sz="1200">
                              <a:solidFill>
                                <a:schemeClr val="tx2"/>
                              </a:solidFill>
                              <a:latin typeface="Times New Roman" pitchFamily="18" charset="0"/>
                            </a:endParaRPr>
                          </a:p>
                        </a:txBody>
                        <a:useSpRect/>
                      </a:txSp>
                    </a:sp>
                    <a:sp>
                      <a:nvSpPr>
                        <a:cNvPr id="3084" name="Text Box 12"/>
                        <a:cNvSpPr txBox="1">
                          <a:spLocks noChangeArrowheads="1"/>
                        </a:cNvSpPr>
                      </a:nvSpPr>
                      <a:spPr bwMode="auto">
                        <a:xfrm>
                          <a:off x="5043488" y="2332038"/>
                          <a:ext cx="2289175" cy="438150"/>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a:solidFill>
                                  <a:schemeClr val="tx2"/>
                                </a:solidFill>
                              </a:rPr>
                              <a:t>Implement control strategies in order of preference</a:t>
                            </a:r>
                            <a:endParaRPr lang="en-GB" sz="1200">
                              <a:solidFill>
                                <a:schemeClr val="tx2"/>
                              </a:solidFill>
                            </a:endParaRPr>
                          </a:p>
                        </a:txBody>
                        <a:useSpRect/>
                      </a:txSp>
                    </a:sp>
                    <a:sp>
                      <a:nvSpPr>
                        <a:cNvPr id="3085" name="Text Box 13"/>
                        <a:cNvSpPr txBox="1">
                          <a:spLocks noChangeArrowheads="1"/>
                        </a:cNvSpPr>
                      </a:nvSpPr>
                      <a:spPr bwMode="auto">
                        <a:xfrm>
                          <a:off x="7231063" y="3076575"/>
                          <a:ext cx="193675" cy="247650"/>
                        </a:xfrm>
                        <a:prstGeom prst="rect">
                          <a:avLst/>
                        </a:prstGeom>
                        <a:solidFill>
                          <a:schemeClr val="bg1"/>
                        </a:solidFill>
                        <a:ln w="9525">
                          <a:noFill/>
                          <a:miter lim="800000"/>
                          <a:headEnd/>
                          <a:tailEnd/>
                        </a:ln>
                      </a:spPr>
                      <a:txSp>
                        <a:txBody>
                          <a:bodyPr lIns="36000"/>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b="1">
                                <a:solidFill>
                                  <a:schemeClr val="tx2"/>
                                </a:solidFill>
                              </a:rPr>
                              <a:t>1</a:t>
                            </a:r>
                            <a:endParaRPr lang="en-GB" sz="1200" b="1">
                              <a:solidFill>
                                <a:schemeClr val="tx2"/>
                              </a:solidFill>
                              <a:latin typeface="Times New Roman" pitchFamily="18" charset="0"/>
                            </a:endParaRPr>
                          </a:p>
                        </a:txBody>
                        <a:useSpRect/>
                      </a:txSp>
                    </a:sp>
                    <a:sp>
                      <a:nvSpPr>
                        <a:cNvPr id="3086" name="Text Box 14"/>
                        <a:cNvSpPr txBox="1">
                          <a:spLocks noChangeArrowheads="1"/>
                        </a:cNvSpPr>
                      </a:nvSpPr>
                      <a:spPr bwMode="auto">
                        <a:xfrm>
                          <a:off x="7183438" y="3759200"/>
                          <a:ext cx="230187" cy="258763"/>
                        </a:xfrm>
                        <a:prstGeom prst="rect">
                          <a:avLst/>
                        </a:prstGeom>
                        <a:solidFill>
                          <a:schemeClr val="bg1"/>
                        </a:solidFill>
                        <a:ln w="9525">
                          <a:no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b="1">
                                <a:solidFill>
                                  <a:schemeClr val="tx2"/>
                                </a:solidFill>
                              </a:rPr>
                              <a:t>2</a:t>
                            </a:r>
                            <a:endParaRPr lang="en-GB" sz="1200" b="1">
                              <a:solidFill>
                                <a:schemeClr val="tx2"/>
                              </a:solidFill>
                              <a:latin typeface="Times New Roman" pitchFamily="18" charset="0"/>
                            </a:endParaRPr>
                          </a:p>
                        </a:txBody>
                        <a:useSpRect/>
                      </a:txSp>
                    </a:sp>
                    <a:sp>
                      <a:nvSpPr>
                        <a:cNvPr id="3087" name="Text Box 15"/>
                        <a:cNvSpPr txBox="1">
                          <a:spLocks noChangeArrowheads="1"/>
                        </a:cNvSpPr>
                      </a:nvSpPr>
                      <a:spPr bwMode="auto">
                        <a:xfrm>
                          <a:off x="7150100" y="4429125"/>
                          <a:ext cx="230188" cy="257175"/>
                        </a:xfrm>
                        <a:prstGeom prst="rect">
                          <a:avLst/>
                        </a:prstGeom>
                        <a:solidFill>
                          <a:schemeClr val="bg1"/>
                        </a:solidFill>
                        <a:ln w="9525">
                          <a:noFill/>
                          <a:miter lim="800000"/>
                          <a:headEnd/>
                          <a:tailEnd/>
                        </a:ln>
                      </a:spPr>
                      <a:txSp>
                        <a:txBody>
                          <a:bodyPr lIns="90000" rIns="72000"/>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b="1">
                                <a:solidFill>
                                  <a:schemeClr val="tx2"/>
                                </a:solidFill>
                              </a:rPr>
                              <a:t>3</a:t>
                            </a:r>
                            <a:endParaRPr lang="en-GB" sz="1200" b="1">
                              <a:solidFill>
                                <a:schemeClr val="tx2"/>
                              </a:solidFill>
                              <a:latin typeface="Times New Roman" pitchFamily="18" charset="0"/>
                            </a:endParaRPr>
                          </a:p>
                        </a:txBody>
                        <a:useSpRect/>
                      </a:txSp>
                    </a:sp>
                    <a:sp>
                      <a:nvSpPr>
                        <a:cNvPr id="3088" name="Text Box 16"/>
                        <a:cNvSpPr txBox="1">
                          <a:spLocks noChangeArrowheads="1"/>
                        </a:cNvSpPr>
                      </a:nvSpPr>
                      <a:spPr bwMode="auto">
                        <a:xfrm>
                          <a:off x="3848100" y="5057775"/>
                          <a:ext cx="1371600" cy="1198563"/>
                        </a:xfrm>
                        <a:prstGeom prst="rect">
                          <a:avLst/>
                        </a:prstGeom>
                        <a:solidFill>
                          <a:schemeClr val="bg1"/>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a:solidFill>
                                  <a:schemeClr val="tx2"/>
                                </a:solidFill>
                              </a:rPr>
                              <a:t>Instruction in use &amp; care of HPDs at the time of Risk control training, RBME and audiometry</a:t>
                            </a:r>
                            <a:endParaRPr lang="en-GB" sz="1200">
                              <a:solidFill>
                                <a:schemeClr val="tx2"/>
                              </a:solidFill>
                            </a:endParaRPr>
                          </a:p>
                        </a:txBody>
                        <a:useSpRect/>
                      </a:txSp>
                    </a:sp>
                    <a:sp>
                      <a:nvSpPr>
                        <a:cNvPr id="3089" name="Text Box 17"/>
                        <a:cNvSpPr txBox="1">
                          <a:spLocks noChangeArrowheads="1"/>
                        </a:cNvSpPr>
                      </a:nvSpPr>
                      <a:spPr bwMode="auto">
                        <a:xfrm>
                          <a:off x="1854200" y="1527175"/>
                          <a:ext cx="2401888" cy="630238"/>
                        </a:xfrm>
                        <a:prstGeom prst="rect">
                          <a:avLst/>
                        </a:prstGeom>
                        <a:solidFill>
                          <a:srgbClr val="FFFFFF"/>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r>
                              <a:rPr lang="en-US" sz="1200">
                                <a:solidFill>
                                  <a:schemeClr val="tx2"/>
                                </a:solidFill>
                              </a:rPr>
                              <a:t>Education &amp; Training in Hazard Awareness and</a:t>
                            </a:r>
                          </a:p>
                          <a:p>
                            <a:pPr algn="ctr" eaLnBrk="0" hangingPunct="0"/>
                            <a:r>
                              <a:rPr lang="en-US" sz="1200">
                                <a:solidFill>
                                  <a:schemeClr val="tx2"/>
                                </a:solidFill>
                              </a:rPr>
                              <a:t>Risk Control Measures</a:t>
                            </a:r>
                            <a:endParaRPr lang="en-GB" sz="1200">
                              <a:solidFill>
                                <a:schemeClr val="tx2"/>
                              </a:solidFill>
                              <a:latin typeface="Times New Roman" pitchFamily="18" charset="0"/>
                            </a:endParaRPr>
                          </a:p>
                        </a:txBody>
                        <a:useSpRect/>
                      </a:txSp>
                    </a:sp>
                    <a:sp>
                      <a:nvSpPr>
                        <a:cNvPr id="3090" name="Line 18"/>
                        <a:cNvSpPr>
                          <a:spLocks noChangeShapeType="1"/>
                        </a:cNvSpPr>
                      </a:nvSpPr>
                      <a:spPr bwMode="auto">
                        <a:xfrm>
                          <a:off x="4533900" y="925513"/>
                          <a:ext cx="0" cy="136525"/>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1" name="Line 19"/>
                        <a:cNvSpPr>
                          <a:spLocks noChangeShapeType="1"/>
                        </a:cNvSpPr>
                      </a:nvSpPr>
                      <a:spPr bwMode="auto">
                        <a:xfrm>
                          <a:off x="4533900" y="1287463"/>
                          <a:ext cx="0" cy="98425"/>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2" name="Line 20"/>
                        <a:cNvSpPr>
                          <a:spLocks noChangeShapeType="1"/>
                        </a:cNvSpPr>
                      </a:nvSpPr>
                      <a:spPr bwMode="auto">
                        <a:xfrm>
                          <a:off x="3048000" y="1385888"/>
                          <a:ext cx="1482725" cy="0"/>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3" name="Line 21"/>
                        <a:cNvSpPr>
                          <a:spLocks noChangeShapeType="1"/>
                        </a:cNvSpPr>
                      </a:nvSpPr>
                      <a:spPr bwMode="auto">
                        <a:xfrm>
                          <a:off x="3048000" y="1385888"/>
                          <a:ext cx="0" cy="141287"/>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4" name="Line 22"/>
                        <a:cNvSpPr>
                          <a:spLocks noChangeShapeType="1"/>
                        </a:cNvSpPr>
                      </a:nvSpPr>
                      <a:spPr bwMode="auto">
                        <a:xfrm>
                          <a:off x="6242050" y="1398588"/>
                          <a:ext cx="0" cy="125412"/>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5" name="Text Box 23"/>
                        <a:cNvSpPr txBox="1">
                          <a:spLocks noChangeArrowheads="1"/>
                        </a:cNvSpPr>
                      </a:nvSpPr>
                      <a:spPr bwMode="auto">
                        <a:xfrm>
                          <a:off x="5472113" y="4338638"/>
                          <a:ext cx="1408112" cy="373062"/>
                        </a:xfrm>
                        <a:prstGeom prst="rect">
                          <a:avLst/>
                        </a:prstGeom>
                        <a:solidFill>
                          <a:schemeClr val="bg1"/>
                        </a:solidFill>
                        <a:ln w="9525">
                          <a:solidFill>
                            <a:srgbClr val="000000"/>
                          </a:solidFill>
                          <a:miter lim="800000"/>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eaLnBrk="0" hangingPunct="0"/>
                            <a:endParaRPr lang="en-US" sz="100">
                              <a:solidFill>
                                <a:schemeClr val="tx2"/>
                              </a:solidFill>
                            </a:endParaRPr>
                          </a:p>
                          <a:p>
                            <a:pPr algn="ctr" eaLnBrk="0" hangingPunct="0"/>
                            <a:r>
                              <a:rPr lang="en-US" sz="1400">
                                <a:solidFill>
                                  <a:schemeClr val="tx2"/>
                                </a:solidFill>
                              </a:rPr>
                              <a:t>PPS/HPDs</a:t>
                            </a:r>
                            <a:endParaRPr lang="en-GB" sz="1400">
                              <a:solidFill>
                                <a:schemeClr val="tx2"/>
                              </a:solidFill>
                              <a:latin typeface="Times New Roman" pitchFamily="18" charset="0"/>
                            </a:endParaRPr>
                          </a:p>
                        </a:txBody>
                        <a:useSpRect/>
                      </a:txSp>
                    </a:sp>
                    <a:sp>
                      <a:nvSpPr>
                        <a:cNvPr id="3096" name="Line 24"/>
                        <a:cNvSpPr>
                          <a:spLocks noChangeShapeType="1"/>
                        </a:cNvSpPr>
                      </a:nvSpPr>
                      <a:spPr bwMode="auto">
                        <a:xfrm>
                          <a:off x="6254750" y="2162175"/>
                          <a:ext cx="0" cy="160338"/>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7" name="Line 25"/>
                        <a:cNvSpPr>
                          <a:spLocks noChangeShapeType="1"/>
                        </a:cNvSpPr>
                      </a:nvSpPr>
                      <a:spPr bwMode="auto">
                        <a:xfrm>
                          <a:off x="7567613" y="2520950"/>
                          <a:ext cx="0" cy="669925"/>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8" name="Line 26"/>
                        <a:cNvSpPr>
                          <a:spLocks noChangeShapeType="1"/>
                        </a:cNvSpPr>
                      </a:nvSpPr>
                      <a:spPr bwMode="auto">
                        <a:xfrm flipH="1">
                          <a:off x="7399338" y="3195638"/>
                          <a:ext cx="163512"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099" name="Line 27"/>
                        <a:cNvSpPr>
                          <a:spLocks noChangeShapeType="1"/>
                        </a:cNvSpPr>
                      </a:nvSpPr>
                      <a:spPr bwMode="auto">
                        <a:xfrm flipH="1">
                          <a:off x="7400925" y="3914775"/>
                          <a:ext cx="166688"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0" name="Line 28"/>
                        <a:cNvSpPr>
                          <a:spLocks noChangeShapeType="1"/>
                        </a:cNvSpPr>
                      </a:nvSpPr>
                      <a:spPr bwMode="auto">
                        <a:xfrm flipH="1">
                          <a:off x="7366000" y="4533900"/>
                          <a:ext cx="201613"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1" name="Line 29"/>
                        <a:cNvSpPr>
                          <a:spLocks noChangeShapeType="1"/>
                        </a:cNvSpPr>
                      </a:nvSpPr>
                      <a:spPr bwMode="auto">
                        <a:xfrm flipH="1">
                          <a:off x="7081838" y="3197225"/>
                          <a:ext cx="173037"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2" name="Line 30"/>
                        <a:cNvSpPr>
                          <a:spLocks noChangeShapeType="1"/>
                        </a:cNvSpPr>
                      </a:nvSpPr>
                      <a:spPr bwMode="auto">
                        <a:xfrm flipH="1">
                          <a:off x="7035800" y="3914775"/>
                          <a:ext cx="173038"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3" name="Line 31"/>
                        <a:cNvSpPr>
                          <a:spLocks noChangeShapeType="1"/>
                        </a:cNvSpPr>
                      </a:nvSpPr>
                      <a:spPr bwMode="auto">
                        <a:xfrm flipH="1">
                          <a:off x="6883400" y="4533900"/>
                          <a:ext cx="323850" cy="0"/>
                        </a:xfrm>
                        <a:prstGeom prst="line">
                          <a:avLst/>
                        </a:prstGeom>
                        <a:noFill/>
                        <a:ln w="9525">
                          <a:solidFill>
                            <a:schemeClr val="bg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4" name="Line 32"/>
                        <a:cNvSpPr>
                          <a:spLocks noChangeShapeType="1"/>
                        </a:cNvSpPr>
                      </a:nvSpPr>
                      <a:spPr bwMode="auto">
                        <a:xfrm flipH="1">
                          <a:off x="5219700" y="5637213"/>
                          <a:ext cx="252413" cy="0"/>
                        </a:xfrm>
                        <a:prstGeom prst="line">
                          <a:avLst/>
                        </a:prstGeom>
                        <a:noFill/>
                        <a:ln w="9525">
                          <a:solidFill>
                            <a:schemeClr val="tx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5" name="Line 33"/>
                        <a:cNvSpPr>
                          <a:spLocks noChangeShapeType="1"/>
                        </a:cNvSpPr>
                      </a:nvSpPr>
                      <a:spPr bwMode="auto">
                        <a:xfrm flipH="1">
                          <a:off x="3595688" y="5608638"/>
                          <a:ext cx="252412" cy="0"/>
                        </a:xfrm>
                        <a:prstGeom prst="line">
                          <a:avLst/>
                        </a:prstGeom>
                        <a:noFill/>
                        <a:ln w="9525">
                          <a:solidFill>
                            <a:schemeClr val="tx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6" name="Line 34"/>
                        <a:cNvSpPr>
                          <a:spLocks noChangeShapeType="1"/>
                        </a:cNvSpPr>
                      </a:nvSpPr>
                      <a:spPr bwMode="auto">
                        <a:xfrm flipH="1">
                          <a:off x="3654425" y="3232150"/>
                          <a:ext cx="1803400" cy="0"/>
                        </a:xfrm>
                        <a:prstGeom prst="line">
                          <a:avLst/>
                        </a:prstGeom>
                        <a:noFill/>
                        <a:ln w="9525">
                          <a:solidFill>
                            <a:srgbClr val="00FF00"/>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7" name="Line 35"/>
                        <a:cNvSpPr>
                          <a:spLocks noChangeShapeType="1"/>
                        </a:cNvSpPr>
                      </a:nvSpPr>
                      <a:spPr bwMode="auto">
                        <a:xfrm flipV="1">
                          <a:off x="2940050" y="2151063"/>
                          <a:ext cx="0" cy="938212"/>
                        </a:xfrm>
                        <a:prstGeom prst="line">
                          <a:avLst/>
                        </a:prstGeom>
                        <a:noFill/>
                        <a:ln w="9525">
                          <a:solidFill>
                            <a:srgbClr val="FF0000"/>
                          </a:solidFill>
                          <a:round/>
                          <a:headEnd/>
                          <a:tailEnd type="triangle" w="lg" len="lg"/>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8" name="Line 36"/>
                        <a:cNvSpPr>
                          <a:spLocks noChangeShapeType="1"/>
                        </a:cNvSpPr>
                      </a:nvSpPr>
                      <a:spPr bwMode="auto">
                        <a:xfrm>
                          <a:off x="2940050" y="2608263"/>
                          <a:ext cx="1663700" cy="0"/>
                        </a:xfrm>
                        <a:prstGeom prst="line">
                          <a:avLst/>
                        </a:prstGeom>
                        <a:noFill/>
                        <a:ln w="9525">
                          <a:solidFill>
                            <a:srgbClr val="FF0000"/>
                          </a:solidFill>
                          <a:round/>
                          <a:headEnd/>
                          <a:tailEnd type="none" w="lg" len="lg"/>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09" name="Line 37"/>
                        <a:cNvSpPr>
                          <a:spLocks noChangeShapeType="1"/>
                        </a:cNvSpPr>
                      </a:nvSpPr>
                      <a:spPr bwMode="auto">
                        <a:xfrm flipV="1">
                          <a:off x="4598988" y="1857375"/>
                          <a:ext cx="0" cy="750888"/>
                        </a:xfrm>
                        <a:prstGeom prst="line">
                          <a:avLst/>
                        </a:prstGeom>
                        <a:noFill/>
                        <a:ln w="9525">
                          <a:solidFill>
                            <a:srgbClr val="FF0000"/>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0" name="Line 38"/>
                        <a:cNvSpPr>
                          <a:spLocks noChangeShapeType="1"/>
                        </a:cNvSpPr>
                      </a:nvSpPr>
                      <a:spPr bwMode="auto">
                        <a:xfrm>
                          <a:off x="4603750" y="1851025"/>
                          <a:ext cx="252413" cy="0"/>
                        </a:xfrm>
                        <a:prstGeom prst="line">
                          <a:avLst/>
                        </a:prstGeom>
                        <a:noFill/>
                        <a:ln w="9525">
                          <a:solidFill>
                            <a:srgbClr val="FF0000"/>
                          </a:solidFill>
                          <a:round/>
                          <a:headEnd/>
                          <a:tailEnd type="triangle" w="lg" len="lg"/>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1" name="Line 39"/>
                        <a:cNvSpPr>
                          <a:spLocks noChangeShapeType="1"/>
                        </a:cNvSpPr>
                      </a:nvSpPr>
                      <a:spPr bwMode="auto">
                        <a:xfrm flipH="1">
                          <a:off x="3671888" y="3938588"/>
                          <a:ext cx="1797050" cy="0"/>
                        </a:xfrm>
                        <a:prstGeom prst="line">
                          <a:avLst/>
                        </a:prstGeom>
                        <a:noFill/>
                        <a:ln w="9525">
                          <a:solidFill>
                            <a:srgbClr val="00FF00"/>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2" name="Line 40"/>
                        <a:cNvSpPr>
                          <a:spLocks noChangeShapeType="1"/>
                        </a:cNvSpPr>
                      </a:nvSpPr>
                      <a:spPr bwMode="auto">
                        <a:xfrm flipV="1">
                          <a:off x="2805113" y="4786313"/>
                          <a:ext cx="0" cy="457200"/>
                        </a:xfrm>
                        <a:prstGeom prst="line">
                          <a:avLst/>
                        </a:prstGeom>
                        <a:noFill/>
                        <a:ln w="9525">
                          <a:solidFill>
                            <a:schemeClr val="tx1"/>
                          </a:solidFill>
                          <a:round/>
                          <a:headEnd/>
                          <a:tailEnd type="triangle" w="med" len="me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3" name="Line 41"/>
                        <a:cNvSpPr>
                          <a:spLocks noChangeShapeType="1"/>
                        </a:cNvSpPr>
                      </a:nvSpPr>
                      <a:spPr bwMode="auto">
                        <a:xfrm flipH="1">
                          <a:off x="3678238" y="4516438"/>
                          <a:ext cx="1789112" cy="0"/>
                        </a:xfrm>
                        <a:prstGeom prst="line">
                          <a:avLst/>
                        </a:prstGeom>
                        <a:noFill/>
                        <a:ln w="9525">
                          <a:solidFill>
                            <a:srgbClr val="FF0000"/>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4" name="Line 42"/>
                        <a:cNvSpPr>
                          <a:spLocks noChangeShapeType="1"/>
                        </a:cNvSpPr>
                      </a:nvSpPr>
                      <a:spPr bwMode="auto">
                        <a:xfrm>
                          <a:off x="4533900" y="1389063"/>
                          <a:ext cx="1712913" cy="0"/>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5" name="Line 43"/>
                        <a:cNvSpPr>
                          <a:spLocks noChangeShapeType="1"/>
                        </a:cNvSpPr>
                      </a:nvSpPr>
                      <a:spPr bwMode="auto">
                        <a:xfrm>
                          <a:off x="7570788" y="3197225"/>
                          <a:ext cx="0" cy="712788"/>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6" name="Line 44"/>
                        <a:cNvSpPr>
                          <a:spLocks noChangeShapeType="1"/>
                        </a:cNvSpPr>
                      </a:nvSpPr>
                      <a:spPr bwMode="auto">
                        <a:xfrm>
                          <a:off x="7570788" y="3902075"/>
                          <a:ext cx="0" cy="630238"/>
                        </a:xfrm>
                        <a:prstGeom prst="line">
                          <a:avLst/>
                        </a:prstGeom>
                        <a:noFill/>
                        <a:ln w="9525">
                          <a:solidFill>
                            <a:schemeClr val="bg1"/>
                          </a:solidFill>
                          <a:round/>
                          <a:headEnd/>
                          <a:tailEnd/>
                        </a:ln>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7" name="Line 45"/>
                        <a:cNvSpPr>
                          <a:spLocks noChangeShapeType="1"/>
                        </a:cNvSpPr>
                      </a:nvSpPr>
                      <a:spPr bwMode="auto">
                        <a:xfrm>
                          <a:off x="5330825" y="3232150"/>
                          <a:ext cx="144463" cy="0"/>
                        </a:xfrm>
                        <a:prstGeom prst="line">
                          <a:avLst/>
                        </a:prstGeom>
                        <a:noFill/>
                        <a:ln w="12700">
                          <a:solidFill>
                            <a:srgbClr val="FF0000"/>
                          </a:solidFill>
                          <a:round/>
                          <a:headEnd type="none" w="sm" len="sm"/>
                          <a:tailEnd type="triangle" w="lg" len="lg"/>
                        </a:ln>
                        <a:effectLst/>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8" name="Line 46"/>
                        <a:cNvSpPr>
                          <a:spLocks noChangeShapeType="1"/>
                        </a:cNvSpPr>
                      </a:nvSpPr>
                      <a:spPr bwMode="auto">
                        <a:xfrm>
                          <a:off x="5330825" y="3937000"/>
                          <a:ext cx="144463" cy="0"/>
                        </a:xfrm>
                        <a:prstGeom prst="line">
                          <a:avLst/>
                        </a:prstGeom>
                        <a:noFill/>
                        <a:ln w="12700">
                          <a:solidFill>
                            <a:srgbClr val="FF0000"/>
                          </a:solidFill>
                          <a:round/>
                          <a:headEnd type="none" w="sm" len="sm"/>
                          <a:tailEnd type="triangle" w="lg" len="lg"/>
                        </a:ln>
                        <a:effectLst/>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sp>
                      <a:nvSpPr>
                        <a:cNvPr id="3119" name="Line 47"/>
                        <a:cNvSpPr>
                          <a:spLocks noChangeShapeType="1"/>
                        </a:cNvSpPr>
                      </a:nvSpPr>
                      <a:spPr bwMode="auto">
                        <a:xfrm>
                          <a:off x="5310188" y="4514850"/>
                          <a:ext cx="144462" cy="0"/>
                        </a:xfrm>
                        <a:prstGeom prst="line">
                          <a:avLst/>
                        </a:prstGeom>
                        <a:noFill/>
                        <a:ln w="12700">
                          <a:solidFill>
                            <a:srgbClr val="FF0000"/>
                          </a:solidFill>
                          <a:round/>
                          <a:headEnd type="none" w="sm" len="sm"/>
                          <a:tailEnd type="triangle" w="lg" len="lg"/>
                        </a:ln>
                        <a:effectLst/>
                      </a:spPr>
                      <a:txSp>
                        <a:txBody>
                          <a:bodyPr/>
                          <a:lstStyle>
                            <a:defPPr>
                              <a:defRPr lang="en-ZA"/>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GB"/>
                          </a:p>
                        </a:txBody>
                        <a:useSpRect/>
                      </a:txSp>
                    </a:sp>
                  </a:grpSp>
                </lc:lockedCanvas>
              </a:graphicData>
            </a:graphic>
          </wp:inline>
        </w:drawing>
      </w:r>
      <w:r w:rsidRPr="00A17032">
        <w:rPr>
          <w:rFonts w:ascii="Arial" w:eastAsia="Calibri" w:hAnsi="Arial" w:cs="Arial"/>
          <w:sz w:val="22"/>
          <w:szCs w:val="22"/>
        </w:rPr>
        <w:pict>
          <v:shapetype id="_x0000_t32" coordsize="21600,21600" o:spt="32" o:oned="t" path="m,l21600,21600e" filled="f">
            <v:path arrowok="t" fillok="f" o:connecttype="none"/>
            <o:lock v:ext="edit" shapetype="t"/>
          </v:shapetype>
          <v:shape id="_x0000_s1029" type="#_x0000_t32" style="position:absolute;margin-left:194.25pt;margin-top:38.3pt;width:0;height:10.5pt;z-index:251660800;mso-position-horizontal-relative:text;mso-position-vertical-relative:text" o:connectortype="straight"/>
        </w:pict>
      </w:r>
    </w:p>
    <w:p w:rsidR="00F7020C" w:rsidRPr="00A17032" w:rsidRDefault="00F7020C" w:rsidP="00F7020C">
      <w:pPr>
        <w:spacing w:line="360" w:lineRule="auto"/>
        <w:rPr>
          <w:rFonts w:ascii="Arial" w:eastAsia="Calibri" w:hAnsi="Arial" w:cs="Arial"/>
          <w:sz w:val="22"/>
          <w:szCs w:val="22"/>
        </w:rPr>
      </w:pPr>
    </w:p>
    <w:p w:rsidR="00F7020C" w:rsidRPr="00A84C10" w:rsidRDefault="00F7020C" w:rsidP="00F7020C">
      <w:pPr>
        <w:spacing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lastRenderedPageBreak/>
        <w:t>PPS= Personal Protection System; HPD= Hearing Protection Devices; RBME= risk based Medical Examination; OH=Occupational Hygiene; HCP =Hearing Conservation Programme</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The diagram above illustrates that managing the risks of NIHL with a HCP requires systematic control measures. The process begins with an assessment of noise-related risks, which if found to be significant, indicates the need for a programme of education and training to raise employees’ awareness of the noise hazard and motivate them to limit their own risks. Risk control strategies should be implemented in order of preference, but most often a combination of strategies is required. Noise and measures to control its impact affect almost everyone on the mine, indicating that the formulation, evaluation and revision of risk control interventions should consider input from as many sources as possible, including those involved and those affected.</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The preferred approach is to implement engineering controls that reduce noise at the source or limit transmission through the workplace. Engineering-based control measures are inherently more reliable than administrative or receptor controls, given that engineering solutions can eliminate or reduce risks without relying on individual compliance. Potential solutions should be evaluated for all high-risk areas and implementation schedules adopted.</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Second best is an Administrative control strategy, which involves changes to the organisation or scheduling of workplace operations, and may also include worker rotation. </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The least preferred approach is receptor control in the form of HPDs.  A personal protection strategy is quick to implement but, without certain provisions, it is the least effective. The personal protection strategy should include, firstly, a Risk-based medical examination (RBME) to ensure that employees are given HPDs that are suitable, in terms of attenuation or level of protection, environmental and ergonomic requirements of the job, and individual needs such as fit and existing hearing loss. The RBME should be conducted by the Occupational Medical Practitioner or other competent person immediately before </w:t>
      </w:r>
      <w:proofErr w:type="spellStart"/>
      <w:r w:rsidRPr="00A84C10">
        <w:rPr>
          <w:rFonts w:ascii="Arial" w:eastAsiaTheme="minorHAnsi" w:hAnsi="Arial" w:cs="Arial"/>
          <w:sz w:val="20"/>
          <w:szCs w:val="20"/>
          <w:lang w:val="en-ZA" w:eastAsia="en-GB"/>
        </w:rPr>
        <w:t>audiometry</w:t>
      </w:r>
      <w:proofErr w:type="spellEnd"/>
      <w:r w:rsidRPr="00A84C10">
        <w:rPr>
          <w:rFonts w:ascii="Arial" w:eastAsiaTheme="minorHAnsi" w:hAnsi="Arial" w:cs="Arial"/>
          <w:sz w:val="20"/>
          <w:szCs w:val="20"/>
          <w:lang w:val="en-ZA" w:eastAsia="en-GB"/>
        </w:rPr>
        <w:t xml:space="preserve">, and include an </w:t>
      </w:r>
      <w:proofErr w:type="spellStart"/>
      <w:r w:rsidRPr="00A84C10">
        <w:rPr>
          <w:rFonts w:ascii="Arial" w:eastAsiaTheme="minorHAnsi" w:hAnsi="Arial" w:cs="Arial"/>
          <w:sz w:val="20"/>
          <w:szCs w:val="20"/>
          <w:lang w:val="en-ZA" w:eastAsia="en-GB"/>
        </w:rPr>
        <w:t>otoscopic</w:t>
      </w:r>
      <w:proofErr w:type="spellEnd"/>
      <w:r w:rsidRPr="00A84C10">
        <w:rPr>
          <w:rFonts w:ascii="Arial" w:eastAsiaTheme="minorHAnsi" w:hAnsi="Arial" w:cs="Arial"/>
          <w:sz w:val="20"/>
          <w:szCs w:val="20"/>
          <w:lang w:val="en-ZA" w:eastAsia="en-GB"/>
        </w:rPr>
        <w:t xml:space="preserve"> examination of the ear canal and eardrum to detect any infection or anatomical abnormality that could affect the choice of HPDs. It should also include a review of previous screening results, which may show existing hearing loss. Based on this information, the Occupational Medical Practitioner (OMP) can identify HPDs that are potentially suitable for the individual’s occupation, workplace and hearing levels.  Selection of a particular HPD should also consider individual preference and employees should receive training in the use and care of their HPD. The next requirement is to monitor employees’ use of HPDs, to determine why some people do not use them and resolve the causes, which may relate to one or more element of the HCP.</w:t>
      </w: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The ultimate test of a hearing conservation programme’s effectiveness is medical surveillance, specifically the results of periodic screening </w:t>
      </w:r>
      <w:proofErr w:type="spellStart"/>
      <w:r w:rsidRPr="00A84C10">
        <w:rPr>
          <w:rFonts w:ascii="Arial" w:eastAsiaTheme="minorHAnsi" w:hAnsi="Arial" w:cs="Arial"/>
          <w:sz w:val="20"/>
          <w:szCs w:val="20"/>
          <w:lang w:val="en-ZA" w:eastAsia="en-GB"/>
        </w:rPr>
        <w:t>audiometry</w:t>
      </w:r>
      <w:proofErr w:type="spellEnd"/>
      <w:r w:rsidRPr="00A84C10">
        <w:rPr>
          <w:rFonts w:ascii="Arial" w:eastAsiaTheme="minorHAnsi" w:hAnsi="Arial" w:cs="Arial"/>
          <w:sz w:val="20"/>
          <w:szCs w:val="20"/>
          <w:lang w:val="en-ZA" w:eastAsia="en-GB"/>
        </w:rPr>
        <w:t>. Personal exposure monitoring is another measure of HCP effectiveness, primarily for evaluating engineering or administrative controls, but it also help to determine if the HPDs issued to employees are appropriate. Where medical surveillance or personal exposure monitoring indicates an unfavourable trend, either in employees’ hearing or the levels of noise they are exposed to, the cause should be investigated and appropriate steps taken to halt the trend.</w:t>
      </w:r>
    </w:p>
    <w:p w:rsidR="00F7020C" w:rsidRPr="00A84C10" w:rsidRDefault="00F7020C" w:rsidP="00F7020C">
      <w:pPr>
        <w:tabs>
          <w:tab w:val="num" w:pos="1440"/>
        </w:tabs>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In conclusion, the most important recommendation from research about best practice HCPs is the need for senior management’s direct involvement in the HCP, not only in reviewing and evaluating the programme but also in making it work, for example seeing that implementation schedules and noise reduction targets are </w:t>
      </w:r>
      <w:r w:rsidRPr="00A84C10">
        <w:rPr>
          <w:rFonts w:ascii="Arial" w:eastAsiaTheme="minorHAnsi" w:hAnsi="Arial" w:cs="Arial"/>
          <w:sz w:val="20"/>
          <w:szCs w:val="20"/>
          <w:lang w:val="en-ZA" w:eastAsia="en-GB"/>
        </w:rPr>
        <w:lastRenderedPageBreak/>
        <w:t>met. The HCP must be driven from the top, with clear assignments of responsibility/accountability for individual elements. HCP effectiveness depends on how well the programme is managed and coordinated. Most initiatives within the HCP will involve multidisciplinary input and involvement, but it must be clear which department or officials are responsible for ensuring implementation and effectiveness.</w:t>
      </w:r>
    </w:p>
    <w:p w:rsidR="00F7020C" w:rsidRPr="00A84C10" w:rsidRDefault="00F7020C" w:rsidP="00F7020C">
      <w:pPr>
        <w:tabs>
          <w:tab w:val="num" w:pos="1440"/>
        </w:tabs>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Regular review and evaluation are essential to enable appropriate revisions, but this is only possible if management receives information that is relevant and useful.  Therefore reports for all HCP elements should make use of appropriate key indicators, trend analysis by occupation, workplace and department and evaluation of control measures, potential or actual, including any negative impact, e.g. on safety or productivity.</w:t>
      </w:r>
    </w:p>
    <w:p w:rsidR="00F7020C" w:rsidRDefault="00A17032" w:rsidP="00A17032">
      <w:pPr>
        <w:numPr>
          <w:ilvl w:val="0"/>
          <w:numId w:val="2"/>
        </w:numPr>
        <w:ind w:hanging="720"/>
        <w:jc w:val="both"/>
        <w:rPr>
          <w:b/>
          <w:bCs/>
        </w:rPr>
      </w:pPr>
      <w:r>
        <w:rPr>
          <w:b/>
          <w:bCs/>
        </w:rPr>
        <w:t>CONCLUSION</w:t>
      </w:r>
    </w:p>
    <w:p w:rsidR="00A17032" w:rsidRPr="00A17032" w:rsidRDefault="00A17032" w:rsidP="00A17032">
      <w:pPr>
        <w:ind w:left="720"/>
        <w:jc w:val="both"/>
        <w:rPr>
          <w:b/>
          <w:bCs/>
        </w:rPr>
      </w:pPr>
    </w:p>
    <w:p w:rsidR="00F7020C" w:rsidRPr="00A84C10" w:rsidRDefault="00F7020C" w:rsidP="00F7020C">
      <w:pPr>
        <w:spacing w:after="120" w:line="360" w:lineRule="auto"/>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The purpose of this document was to summarise best practice in the NIHL management and to comment on why NIHL remains such an overwhelming problem in the health of mineworkers. If the mining industry is truly committed to having a best practice Hearing Conservation Programme then </w:t>
      </w:r>
      <w:r w:rsidRPr="00F7020C">
        <w:rPr>
          <w:rFonts w:eastAsia="Calibri"/>
          <w:b/>
          <w:i/>
          <w:lang w:val="en-GB"/>
        </w:rPr>
        <w:t>all</w:t>
      </w:r>
      <w:r w:rsidRPr="00F7020C">
        <w:rPr>
          <w:rFonts w:eastAsia="Calibri"/>
          <w:i/>
          <w:lang w:val="en-GB"/>
        </w:rPr>
        <w:t xml:space="preserve"> </w:t>
      </w:r>
      <w:r w:rsidRPr="00A84C10">
        <w:rPr>
          <w:rFonts w:ascii="Arial" w:eastAsiaTheme="minorHAnsi" w:hAnsi="Arial" w:cs="Arial"/>
          <w:sz w:val="20"/>
          <w:szCs w:val="20"/>
          <w:lang w:val="en-ZA" w:eastAsia="en-GB"/>
        </w:rPr>
        <w:t>of the abovementioned elements must be in place and fully implemented. Furthermore, unless all the elements are well</w:t>
      </w:r>
      <w:r>
        <w:rPr>
          <w:rFonts w:ascii="Arial" w:hAnsi="Arial" w:cs="Arial"/>
        </w:rPr>
        <w:t xml:space="preserve"> </w:t>
      </w:r>
      <w:r w:rsidRPr="00F7020C">
        <w:rPr>
          <w:rFonts w:eastAsia="Calibri"/>
          <w:b/>
          <w:i/>
          <w:lang w:val="en-GB"/>
        </w:rPr>
        <w:t xml:space="preserve">integrated </w:t>
      </w:r>
      <w:r w:rsidRPr="00A84C10">
        <w:rPr>
          <w:rFonts w:ascii="Arial" w:eastAsiaTheme="minorHAnsi" w:hAnsi="Arial" w:cs="Arial"/>
          <w:sz w:val="20"/>
          <w:szCs w:val="20"/>
          <w:lang w:val="en-ZA" w:eastAsia="en-GB"/>
        </w:rPr>
        <w:t>and the relevant data is</w:t>
      </w:r>
      <w:r>
        <w:rPr>
          <w:rFonts w:ascii="Arial" w:hAnsi="Arial" w:cs="Arial"/>
        </w:rPr>
        <w:t xml:space="preserve"> </w:t>
      </w:r>
      <w:r w:rsidRPr="00F7020C">
        <w:rPr>
          <w:rFonts w:eastAsia="Calibri"/>
          <w:b/>
          <w:i/>
          <w:lang w:val="en-GB"/>
        </w:rPr>
        <w:t>electronically available</w:t>
      </w:r>
      <w:r>
        <w:rPr>
          <w:rFonts w:ascii="Arial" w:hAnsi="Arial" w:cs="Arial"/>
        </w:rPr>
        <w:t xml:space="preserve"> </w:t>
      </w:r>
      <w:r w:rsidRPr="00A84C10">
        <w:rPr>
          <w:rFonts w:ascii="Arial" w:eastAsiaTheme="minorHAnsi" w:hAnsi="Arial" w:cs="Arial"/>
          <w:sz w:val="20"/>
          <w:szCs w:val="20"/>
          <w:lang w:val="en-ZA" w:eastAsia="en-GB"/>
        </w:rPr>
        <w:t>and easily accessible for efficient management of the systems a hit-and-miss approach with separate efforts from various departments will undermine the money spent and the efforts made to manage of NIHL. Finally, unless all elements are directed towards continual improvement of the HCP, the result will merely be a documenting of the road to deafness and a documenting of the culprit noise exposures.</w:t>
      </w:r>
    </w:p>
    <w:p w:rsidR="00A17032" w:rsidRDefault="00A17032" w:rsidP="00A17032">
      <w:pPr>
        <w:ind w:left="720"/>
        <w:jc w:val="both"/>
        <w:rPr>
          <w:b/>
          <w:bCs/>
        </w:rPr>
      </w:pPr>
    </w:p>
    <w:p w:rsidR="007B5F55" w:rsidRPr="007D1013" w:rsidRDefault="007B5F55" w:rsidP="005C7C64">
      <w:pPr>
        <w:numPr>
          <w:ilvl w:val="0"/>
          <w:numId w:val="2"/>
        </w:numPr>
        <w:ind w:hanging="720"/>
        <w:jc w:val="both"/>
        <w:rPr>
          <w:b/>
          <w:bCs/>
        </w:rPr>
      </w:pPr>
      <w:r w:rsidRPr="007D1013">
        <w:rPr>
          <w:b/>
          <w:bCs/>
        </w:rPr>
        <w:t>REQUEST TO MEMBERS</w:t>
      </w:r>
    </w:p>
    <w:p w:rsidR="007B5F55" w:rsidRPr="007D1013" w:rsidRDefault="007B5F55" w:rsidP="005C7C64">
      <w:pPr>
        <w:autoSpaceDE w:val="0"/>
        <w:autoSpaceDN w:val="0"/>
        <w:adjustRightInd w:val="0"/>
        <w:jc w:val="both"/>
        <w:rPr>
          <w:rFonts w:ascii="Times-Bold" w:hAnsi="Times-Bold" w:cs="Times-Bold"/>
          <w:b/>
          <w:bCs/>
          <w:sz w:val="20"/>
          <w:szCs w:val="20"/>
        </w:rPr>
      </w:pPr>
    </w:p>
    <w:p w:rsidR="007B5F55" w:rsidRPr="00A17032" w:rsidRDefault="00A17032" w:rsidP="005C7C64">
      <w:pPr>
        <w:pStyle w:val="ListParagraph"/>
        <w:numPr>
          <w:ilvl w:val="0"/>
          <w:numId w:val="1"/>
        </w:numPr>
        <w:autoSpaceDE w:val="0"/>
        <w:autoSpaceDN w:val="0"/>
        <w:adjustRightInd w:val="0"/>
        <w:spacing w:after="0" w:line="240" w:lineRule="auto"/>
        <w:jc w:val="both"/>
        <w:rPr>
          <w:b/>
          <w:bCs/>
          <w:sz w:val="20"/>
          <w:szCs w:val="20"/>
        </w:rPr>
      </w:pPr>
      <w:r w:rsidRPr="00A84C10">
        <w:rPr>
          <w:rFonts w:ascii="Arial" w:eastAsiaTheme="minorHAnsi" w:hAnsi="Arial" w:cs="Arial"/>
          <w:sz w:val="20"/>
          <w:szCs w:val="20"/>
          <w:lang w:val="en-ZA" w:eastAsia="en-GB"/>
        </w:rPr>
        <w:t>To critically challenge thi</w:t>
      </w:r>
      <w:r w:rsidR="00BE61CC" w:rsidRPr="00A84C10">
        <w:rPr>
          <w:rFonts w:ascii="Arial" w:eastAsiaTheme="minorHAnsi" w:hAnsi="Arial" w:cs="Arial"/>
          <w:sz w:val="20"/>
          <w:szCs w:val="20"/>
          <w:lang w:val="en-ZA" w:eastAsia="en-GB"/>
        </w:rPr>
        <w:t xml:space="preserve">s document and comment whether </w:t>
      </w:r>
      <w:r w:rsidRPr="00A84C10">
        <w:rPr>
          <w:rFonts w:ascii="Arial" w:eastAsiaTheme="minorHAnsi" w:hAnsi="Arial" w:cs="Arial"/>
          <w:sz w:val="20"/>
          <w:szCs w:val="20"/>
          <w:lang w:val="en-ZA" w:eastAsia="en-GB"/>
        </w:rPr>
        <w:t xml:space="preserve">issues that are raised are applicable to their companies. All comments to be forwarded to </w:t>
      </w:r>
      <w:r>
        <w:rPr>
          <w:rFonts w:ascii="Times New Roman" w:hAnsi="Times New Roman"/>
          <w:sz w:val="24"/>
          <w:szCs w:val="24"/>
          <w:lang w:val="en-GB"/>
        </w:rPr>
        <w:t xml:space="preserve">Dick Coutts </w:t>
      </w:r>
      <w:r w:rsidR="00BE61CC">
        <w:rPr>
          <w:rFonts w:ascii="Times New Roman" w:hAnsi="Times New Roman"/>
          <w:sz w:val="24"/>
          <w:szCs w:val="24"/>
          <w:lang w:val="en-GB"/>
        </w:rPr>
        <w:t xml:space="preserve">at </w:t>
      </w:r>
      <w:hyperlink r:id="rId11" w:history="1">
        <w:r w:rsidR="007B5F55" w:rsidRPr="00A17032">
          <w:rPr>
            <w:rStyle w:val="Hyperlink"/>
            <w:szCs w:val="20"/>
          </w:rPr>
          <w:t>Dick.Coutts@Harmony.co.za</w:t>
        </w:r>
      </w:hyperlink>
      <w:r w:rsidR="007B5F55" w:rsidRPr="00A17032">
        <w:rPr>
          <w:rFonts w:ascii="Times-Roman" w:hAnsi="Times-Roman" w:cs="Times-Roman"/>
          <w:color w:val="000000"/>
          <w:sz w:val="20"/>
          <w:szCs w:val="20"/>
        </w:rPr>
        <w:t xml:space="preserve"> ; </w:t>
      </w:r>
      <w:r w:rsidR="007B5F55" w:rsidRPr="00A17032">
        <w:rPr>
          <w:rFonts w:ascii="Times New Roman" w:hAnsi="Times New Roman"/>
          <w:sz w:val="24"/>
          <w:szCs w:val="24"/>
          <w:lang w:val="en-GB"/>
        </w:rPr>
        <w:t>Jose De Beer at</w:t>
      </w:r>
      <w:r w:rsidR="007B5F55" w:rsidRPr="00A17032">
        <w:rPr>
          <w:rFonts w:ascii="Times-Roman" w:hAnsi="Times-Roman" w:cs="Times-Roman"/>
          <w:color w:val="000000"/>
          <w:sz w:val="20"/>
          <w:szCs w:val="20"/>
        </w:rPr>
        <w:t xml:space="preserve"> </w:t>
      </w:r>
      <w:hyperlink r:id="rId12" w:history="1">
        <w:r w:rsidR="007B5F55" w:rsidRPr="00A17032">
          <w:rPr>
            <w:rStyle w:val="Hyperlink"/>
            <w:szCs w:val="20"/>
          </w:rPr>
          <w:t>jdebeer01@xstrata.co.za</w:t>
        </w:r>
      </w:hyperlink>
      <w:r w:rsidR="007B5F55" w:rsidRPr="00A17032">
        <w:rPr>
          <w:rFonts w:ascii="Times-Roman" w:hAnsi="Times-Roman" w:cs="Times-Roman"/>
          <w:color w:val="000000"/>
          <w:sz w:val="20"/>
          <w:szCs w:val="20"/>
        </w:rPr>
        <w:t xml:space="preserve"> </w:t>
      </w:r>
      <w:r w:rsidR="007B5F55" w:rsidRPr="00A17032">
        <w:rPr>
          <w:rFonts w:ascii="Times New Roman" w:hAnsi="Times New Roman"/>
          <w:sz w:val="24"/>
          <w:szCs w:val="24"/>
          <w:lang w:val="en-GB"/>
        </w:rPr>
        <w:t xml:space="preserve">and Sharks Gumede at </w:t>
      </w:r>
      <w:hyperlink r:id="rId13" w:history="1">
        <w:r w:rsidR="007B5F55" w:rsidRPr="00A17032">
          <w:rPr>
            <w:rStyle w:val="Hyperlink"/>
            <w:szCs w:val="20"/>
          </w:rPr>
          <w:t>hgumede@chamberofmines.org.za</w:t>
        </w:r>
      </w:hyperlink>
      <w:r w:rsidR="007B5F55" w:rsidRPr="00A17032">
        <w:rPr>
          <w:sz w:val="20"/>
          <w:szCs w:val="20"/>
        </w:rPr>
        <w:t>.</w:t>
      </w:r>
    </w:p>
    <w:p w:rsidR="007B5F55" w:rsidRPr="00652312" w:rsidRDefault="007B5F55" w:rsidP="005C7C64">
      <w:pPr>
        <w:pStyle w:val="ListParagraph"/>
        <w:jc w:val="both"/>
        <w:rPr>
          <w:b/>
          <w:bCs/>
          <w:sz w:val="20"/>
          <w:szCs w:val="20"/>
        </w:rPr>
      </w:pPr>
    </w:p>
    <w:p w:rsidR="007B5F55" w:rsidRPr="00A84C10" w:rsidRDefault="00E47ED3" w:rsidP="005C7C64">
      <w:pPr>
        <w:autoSpaceDE w:val="0"/>
        <w:autoSpaceDN w:val="0"/>
        <w:adjustRightInd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 xml:space="preserve">Your cooperation is appreciated </w:t>
      </w:r>
    </w:p>
    <w:p w:rsidR="00E47ED3" w:rsidRPr="00A84C10" w:rsidRDefault="00E47ED3" w:rsidP="005C7C64">
      <w:pPr>
        <w:autoSpaceDE w:val="0"/>
        <w:autoSpaceDN w:val="0"/>
        <w:adjustRightInd w:val="0"/>
        <w:jc w:val="both"/>
        <w:rPr>
          <w:rFonts w:ascii="Arial" w:eastAsiaTheme="minorHAnsi" w:hAnsi="Arial" w:cs="Arial"/>
          <w:sz w:val="20"/>
          <w:szCs w:val="20"/>
          <w:lang w:val="en-ZA" w:eastAsia="en-GB"/>
        </w:rPr>
      </w:pPr>
    </w:p>
    <w:p w:rsidR="007B5F55" w:rsidRPr="00A84C10" w:rsidRDefault="007B5F55" w:rsidP="005C7C64">
      <w:pPr>
        <w:autoSpaceDE w:val="0"/>
        <w:autoSpaceDN w:val="0"/>
        <w:adjustRightInd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Yours truly</w:t>
      </w:r>
    </w:p>
    <w:p w:rsidR="007B5F55" w:rsidRPr="00A84C10" w:rsidRDefault="007B5F55" w:rsidP="005C7C64">
      <w:pPr>
        <w:autoSpaceDE w:val="0"/>
        <w:autoSpaceDN w:val="0"/>
        <w:adjustRightInd w:val="0"/>
        <w:jc w:val="both"/>
        <w:rPr>
          <w:rFonts w:ascii="Arial" w:eastAsiaTheme="minorHAnsi" w:hAnsi="Arial" w:cs="Arial"/>
          <w:sz w:val="20"/>
          <w:szCs w:val="20"/>
          <w:lang w:val="en-ZA" w:eastAsia="en-GB"/>
        </w:rPr>
      </w:pPr>
      <w:r w:rsidRPr="00A84C10">
        <w:rPr>
          <w:rFonts w:ascii="Arial" w:eastAsiaTheme="minorHAnsi" w:hAnsi="Arial" w:cs="Arial"/>
          <w:sz w:val="20"/>
          <w:szCs w:val="20"/>
          <w:lang w:val="en-ZA" w:eastAsia="en-GB"/>
        </w:rPr>
        <w:t>Shark</w:t>
      </w:r>
      <w:r w:rsidR="00DD6C5F" w:rsidRPr="00A84C10">
        <w:rPr>
          <w:rFonts w:ascii="Arial" w:eastAsiaTheme="minorHAnsi" w:hAnsi="Arial" w:cs="Arial"/>
          <w:sz w:val="20"/>
          <w:szCs w:val="20"/>
          <w:lang w:val="en-ZA" w:eastAsia="en-GB"/>
        </w:rPr>
        <w:t>s</w:t>
      </w:r>
      <w:r w:rsidRPr="00A84C10">
        <w:rPr>
          <w:rFonts w:ascii="Arial" w:eastAsiaTheme="minorHAnsi" w:hAnsi="Arial" w:cs="Arial"/>
          <w:sz w:val="20"/>
          <w:szCs w:val="20"/>
          <w:lang w:val="en-ZA" w:eastAsia="en-GB"/>
        </w:rPr>
        <w:t xml:space="preserve"> Gumede</w:t>
      </w:r>
    </w:p>
    <w:p w:rsidR="007B5F55" w:rsidRPr="00652312" w:rsidRDefault="00476E96" w:rsidP="005C7C64">
      <w:pPr>
        <w:autoSpaceDE w:val="0"/>
        <w:autoSpaceDN w:val="0"/>
        <w:adjustRightInd w:val="0"/>
        <w:jc w:val="both"/>
        <w:rPr>
          <w:rFonts w:ascii="Times-Roman" w:hAnsi="Times-Roman" w:cs="Times-Roman"/>
          <w:b/>
          <w:color w:val="000000"/>
          <w:sz w:val="20"/>
          <w:szCs w:val="20"/>
        </w:rPr>
      </w:pPr>
      <w:r>
        <w:rPr>
          <w:rFonts w:ascii="Times-Roman" w:hAnsi="Times-Roman" w:cs="Times-Roman"/>
          <w:b/>
          <w:color w:val="000000"/>
          <w:sz w:val="20"/>
          <w:szCs w:val="20"/>
        </w:rPr>
        <w:t>MOSH Principal Adoption S</w:t>
      </w:r>
      <w:r w:rsidR="007B5F55" w:rsidRPr="00652312">
        <w:rPr>
          <w:rFonts w:ascii="Times-Roman" w:hAnsi="Times-Roman" w:cs="Times-Roman"/>
          <w:b/>
          <w:color w:val="000000"/>
          <w:sz w:val="20"/>
          <w:szCs w:val="20"/>
        </w:rPr>
        <w:t>pecialist</w:t>
      </w:r>
    </w:p>
    <w:p w:rsidR="007B5F55" w:rsidRPr="00652312" w:rsidRDefault="007B5F55" w:rsidP="005C7C64">
      <w:pPr>
        <w:autoSpaceDE w:val="0"/>
        <w:autoSpaceDN w:val="0"/>
        <w:adjustRightInd w:val="0"/>
        <w:jc w:val="both"/>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74354A" w:rsidRDefault="007B5F55" w:rsidP="005C7C64">
      <w:pPr>
        <w:jc w:val="both"/>
      </w:pPr>
      <w:r>
        <w:rPr>
          <w:rFonts w:ascii="Times-Roman" w:hAnsi="Times-Roman" w:cs="Times-Roman"/>
          <w:b/>
          <w:color w:val="000000"/>
          <w:sz w:val="20"/>
          <w:szCs w:val="20"/>
        </w:rPr>
        <w:t xml:space="preserve">Date: </w:t>
      </w:r>
      <w:r w:rsidR="00476E96">
        <w:rPr>
          <w:rFonts w:ascii="Times-Roman" w:hAnsi="Times-Roman" w:cs="Times-Roman"/>
          <w:b/>
          <w:color w:val="000000"/>
          <w:sz w:val="20"/>
          <w:szCs w:val="20"/>
        </w:rPr>
        <w:t xml:space="preserve">13 March </w:t>
      </w:r>
      <w:r w:rsidRPr="00652312">
        <w:rPr>
          <w:rFonts w:ascii="Times-Roman" w:hAnsi="Times-Roman" w:cs="Times-Roman"/>
          <w:b/>
          <w:color w:val="000000"/>
          <w:sz w:val="20"/>
          <w:szCs w:val="20"/>
        </w:rPr>
        <w:t>201</w:t>
      </w:r>
      <w:r w:rsidR="00476E96">
        <w:rPr>
          <w:rFonts w:ascii="Times-Roman" w:hAnsi="Times-Roman" w:cs="Times-Roman"/>
          <w:b/>
          <w:color w:val="000000"/>
          <w:sz w:val="20"/>
          <w:szCs w:val="20"/>
        </w:rPr>
        <w:t>3</w:t>
      </w:r>
    </w:p>
    <w:sectPr w:rsidR="0074354A" w:rsidSect="000229DB">
      <w:headerReference w:type="even" r:id="rId14"/>
      <w:headerReference w:type="default" r:id="rId15"/>
      <w:footerReference w:type="even" r:id="rId16"/>
      <w:footerReference w:type="default" r:id="rId17"/>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362" w:rsidRDefault="00C21362">
      <w:r>
        <w:separator/>
      </w:r>
    </w:p>
  </w:endnote>
  <w:endnote w:type="continuationSeparator" w:id="0">
    <w:p w:rsidR="00C21362" w:rsidRDefault="00C21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362" w:rsidRDefault="00C21362">
      <w:r>
        <w:separator/>
      </w:r>
    </w:p>
  </w:footnote>
  <w:footnote w:type="continuationSeparator" w:id="0">
    <w:p w:rsidR="00C21362" w:rsidRDefault="00C213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CF413E4"/>
    <w:multiLevelType w:val="hybridMultilevel"/>
    <w:tmpl w:val="F3A00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2FA6164"/>
    <w:multiLevelType w:val="hybridMultilevel"/>
    <w:tmpl w:val="C0F2A538"/>
    <w:lvl w:ilvl="0" w:tplc="04090017">
      <w:start w:val="1"/>
      <w:numFmt w:val="low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B9549B"/>
    <w:multiLevelType w:val="hybridMultilevel"/>
    <w:tmpl w:val="185E3A6C"/>
    <w:lvl w:ilvl="0" w:tplc="08090003">
      <w:start w:val="1"/>
      <w:numFmt w:val="bullet"/>
      <w:lvlText w:val="o"/>
      <w:lvlJc w:val="left"/>
      <w:pPr>
        <w:tabs>
          <w:tab w:val="num" w:pos="1074"/>
        </w:tabs>
        <w:ind w:left="1074" w:hanging="360"/>
      </w:pPr>
      <w:rPr>
        <w:rFonts w:ascii="Courier New" w:hAnsi="Courier New" w:cs="Courier New" w:hint="default"/>
      </w:rPr>
    </w:lvl>
    <w:lvl w:ilvl="1" w:tplc="08090003">
      <w:start w:val="1"/>
      <w:numFmt w:val="bullet"/>
      <w:lvlText w:val="o"/>
      <w:lvlJc w:val="left"/>
      <w:pPr>
        <w:tabs>
          <w:tab w:val="num" w:pos="1074"/>
        </w:tabs>
        <w:ind w:left="1074" w:hanging="360"/>
      </w:pPr>
      <w:rPr>
        <w:rFonts w:ascii="Courier New" w:hAnsi="Courier New" w:cs="Courier New" w:hint="default"/>
      </w:rPr>
    </w:lvl>
    <w:lvl w:ilvl="2" w:tplc="08090005">
      <w:start w:val="1"/>
      <w:numFmt w:val="decimal"/>
      <w:lvlText w:val="%3."/>
      <w:lvlJc w:val="left"/>
      <w:pPr>
        <w:tabs>
          <w:tab w:val="num" w:pos="1794"/>
        </w:tabs>
        <w:ind w:left="1794" w:hanging="360"/>
      </w:pPr>
    </w:lvl>
    <w:lvl w:ilvl="3" w:tplc="08090001">
      <w:start w:val="1"/>
      <w:numFmt w:val="decimal"/>
      <w:lvlText w:val="%4."/>
      <w:lvlJc w:val="left"/>
      <w:pPr>
        <w:tabs>
          <w:tab w:val="num" w:pos="2514"/>
        </w:tabs>
        <w:ind w:left="2514" w:hanging="360"/>
      </w:pPr>
    </w:lvl>
    <w:lvl w:ilvl="4" w:tplc="08090003">
      <w:start w:val="1"/>
      <w:numFmt w:val="decimal"/>
      <w:lvlText w:val="%5."/>
      <w:lvlJc w:val="left"/>
      <w:pPr>
        <w:tabs>
          <w:tab w:val="num" w:pos="3234"/>
        </w:tabs>
        <w:ind w:left="3234" w:hanging="360"/>
      </w:pPr>
    </w:lvl>
    <w:lvl w:ilvl="5" w:tplc="08090005">
      <w:start w:val="1"/>
      <w:numFmt w:val="decimal"/>
      <w:lvlText w:val="%6."/>
      <w:lvlJc w:val="left"/>
      <w:pPr>
        <w:tabs>
          <w:tab w:val="num" w:pos="3954"/>
        </w:tabs>
        <w:ind w:left="3954" w:hanging="360"/>
      </w:pPr>
    </w:lvl>
    <w:lvl w:ilvl="6" w:tplc="08090001">
      <w:start w:val="1"/>
      <w:numFmt w:val="decimal"/>
      <w:lvlText w:val="%7."/>
      <w:lvlJc w:val="left"/>
      <w:pPr>
        <w:tabs>
          <w:tab w:val="num" w:pos="4674"/>
        </w:tabs>
        <w:ind w:left="4674" w:hanging="360"/>
      </w:pPr>
    </w:lvl>
    <w:lvl w:ilvl="7" w:tplc="08090003">
      <w:start w:val="1"/>
      <w:numFmt w:val="decimal"/>
      <w:lvlText w:val="%8."/>
      <w:lvlJc w:val="left"/>
      <w:pPr>
        <w:tabs>
          <w:tab w:val="num" w:pos="5394"/>
        </w:tabs>
        <w:ind w:left="5394" w:hanging="360"/>
      </w:pPr>
    </w:lvl>
    <w:lvl w:ilvl="8" w:tplc="08090005">
      <w:start w:val="1"/>
      <w:numFmt w:val="decimal"/>
      <w:lvlText w:val="%9."/>
      <w:lvlJc w:val="left"/>
      <w:pPr>
        <w:tabs>
          <w:tab w:val="num" w:pos="6114"/>
        </w:tabs>
        <w:ind w:left="6114" w:hanging="360"/>
      </w:pPr>
    </w:lvl>
  </w:abstractNum>
  <w:abstractNum w:abstractNumId="10">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A40E9C"/>
    <w:multiLevelType w:val="hybridMultilevel"/>
    <w:tmpl w:val="63B21D9C"/>
    <w:lvl w:ilvl="0" w:tplc="04090001">
      <w:start w:val="1"/>
      <w:numFmt w:val="bullet"/>
      <w:lvlText w:val=""/>
      <w:lvlJc w:val="left"/>
      <w:pPr>
        <w:ind w:left="653" w:hanging="360"/>
      </w:pPr>
      <w:rPr>
        <w:rFonts w:ascii="Symbol" w:hAnsi="Symbol" w:hint="default"/>
      </w:rPr>
    </w:lvl>
    <w:lvl w:ilvl="1" w:tplc="04090003" w:tentative="1">
      <w:start w:val="1"/>
      <w:numFmt w:val="bullet"/>
      <w:lvlText w:val="o"/>
      <w:lvlJc w:val="left"/>
      <w:pPr>
        <w:ind w:left="1349" w:hanging="360"/>
      </w:pPr>
      <w:rPr>
        <w:rFonts w:ascii="Courier New" w:hAnsi="Courier New" w:cs="Courier New" w:hint="default"/>
      </w:rPr>
    </w:lvl>
    <w:lvl w:ilvl="2" w:tplc="04090005" w:tentative="1">
      <w:start w:val="1"/>
      <w:numFmt w:val="bullet"/>
      <w:lvlText w:val=""/>
      <w:lvlJc w:val="left"/>
      <w:pPr>
        <w:ind w:left="2069" w:hanging="360"/>
      </w:pPr>
      <w:rPr>
        <w:rFonts w:ascii="Wingdings" w:hAnsi="Wingdings" w:hint="default"/>
      </w:rPr>
    </w:lvl>
    <w:lvl w:ilvl="3" w:tplc="04090001" w:tentative="1">
      <w:start w:val="1"/>
      <w:numFmt w:val="bullet"/>
      <w:lvlText w:val=""/>
      <w:lvlJc w:val="left"/>
      <w:pPr>
        <w:ind w:left="2789" w:hanging="360"/>
      </w:pPr>
      <w:rPr>
        <w:rFonts w:ascii="Symbol" w:hAnsi="Symbol" w:hint="default"/>
      </w:rPr>
    </w:lvl>
    <w:lvl w:ilvl="4" w:tplc="04090003" w:tentative="1">
      <w:start w:val="1"/>
      <w:numFmt w:val="bullet"/>
      <w:lvlText w:val="o"/>
      <w:lvlJc w:val="left"/>
      <w:pPr>
        <w:ind w:left="3509" w:hanging="360"/>
      </w:pPr>
      <w:rPr>
        <w:rFonts w:ascii="Courier New" w:hAnsi="Courier New" w:cs="Courier New" w:hint="default"/>
      </w:rPr>
    </w:lvl>
    <w:lvl w:ilvl="5" w:tplc="04090005" w:tentative="1">
      <w:start w:val="1"/>
      <w:numFmt w:val="bullet"/>
      <w:lvlText w:val=""/>
      <w:lvlJc w:val="left"/>
      <w:pPr>
        <w:ind w:left="4229" w:hanging="360"/>
      </w:pPr>
      <w:rPr>
        <w:rFonts w:ascii="Wingdings" w:hAnsi="Wingdings" w:hint="default"/>
      </w:rPr>
    </w:lvl>
    <w:lvl w:ilvl="6" w:tplc="04090001" w:tentative="1">
      <w:start w:val="1"/>
      <w:numFmt w:val="bullet"/>
      <w:lvlText w:val=""/>
      <w:lvlJc w:val="left"/>
      <w:pPr>
        <w:ind w:left="4949" w:hanging="360"/>
      </w:pPr>
      <w:rPr>
        <w:rFonts w:ascii="Symbol" w:hAnsi="Symbol" w:hint="default"/>
      </w:rPr>
    </w:lvl>
    <w:lvl w:ilvl="7" w:tplc="04090003" w:tentative="1">
      <w:start w:val="1"/>
      <w:numFmt w:val="bullet"/>
      <w:lvlText w:val="o"/>
      <w:lvlJc w:val="left"/>
      <w:pPr>
        <w:ind w:left="5669" w:hanging="360"/>
      </w:pPr>
      <w:rPr>
        <w:rFonts w:ascii="Courier New" w:hAnsi="Courier New" w:cs="Courier New" w:hint="default"/>
      </w:rPr>
    </w:lvl>
    <w:lvl w:ilvl="8" w:tplc="04090005" w:tentative="1">
      <w:start w:val="1"/>
      <w:numFmt w:val="bullet"/>
      <w:lvlText w:val=""/>
      <w:lvlJc w:val="left"/>
      <w:pPr>
        <w:ind w:left="6389" w:hanging="360"/>
      </w:pPr>
      <w:rPr>
        <w:rFonts w:ascii="Wingdings" w:hAnsi="Wingdings" w:hint="default"/>
      </w:rPr>
    </w:lvl>
  </w:abstractNum>
  <w:abstractNum w:abstractNumId="13">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0"/>
  </w:num>
  <w:num w:numId="3">
    <w:abstractNumId w:val="13"/>
  </w:num>
  <w:num w:numId="4">
    <w:abstractNumId w:val="8"/>
  </w:num>
  <w:num w:numId="5">
    <w:abstractNumId w:val="14"/>
  </w:num>
  <w:num w:numId="6">
    <w:abstractNumId w:val="5"/>
  </w:num>
  <w:num w:numId="7">
    <w:abstractNumId w:val="4"/>
  </w:num>
  <w:num w:numId="8">
    <w:abstractNumId w:val="7"/>
  </w:num>
  <w:num w:numId="9">
    <w:abstractNumId w:val="3"/>
  </w:num>
  <w:num w:numId="10">
    <w:abstractNumId w:val="0"/>
  </w:num>
  <w:num w:numId="11">
    <w:abstractNumId w:val="1"/>
  </w:num>
  <w:num w:numId="12">
    <w:abstractNumId w:val="11"/>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229DB"/>
    <w:rsid w:val="00042C0A"/>
    <w:rsid w:val="000574CF"/>
    <w:rsid w:val="000614CA"/>
    <w:rsid w:val="0008219F"/>
    <w:rsid w:val="00087D41"/>
    <w:rsid w:val="00127F60"/>
    <w:rsid w:val="00134228"/>
    <w:rsid w:val="00137D91"/>
    <w:rsid w:val="001426B0"/>
    <w:rsid w:val="001B727D"/>
    <w:rsid w:val="001D6AF6"/>
    <w:rsid w:val="001E1BEE"/>
    <w:rsid w:val="001F2867"/>
    <w:rsid w:val="00241864"/>
    <w:rsid w:val="00241FB9"/>
    <w:rsid w:val="00261B15"/>
    <w:rsid w:val="00274857"/>
    <w:rsid w:val="002C75A9"/>
    <w:rsid w:val="002D1BDF"/>
    <w:rsid w:val="00321C69"/>
    <w:rsid w:val="00352C92"/>
    <w:rsid w:val="00357513"/>
    <w:rsid w:val="003E2DB1"/>
    <w:rsid w:val="003E3A15"/>
    <w:rsid w:val="004375B4"/>
    <w:rsid w:val="00441D75"/>
    <w:rsid w:val="00476E96"/>
    <w:rsid w:val="00496E88"/>
    <w:rsid w:val="004C0D83"/>
    <w:rsid w:val="005102DF"/>
    <w:rsid w:val="00521C5D"/>
    <w:rsid w:val="00524524"/>
    <w:rsid w:val="00540741"/>
    <w:rsid w:val="0059775D"/>
    <w:rsid w:val="005C7C64"/>
    <w:rsid w:val="005F67D4"/>
    <w:rsid w:val="00652312"/>
    <w:rsid w:val="00661F55"/>
    <w:rsid w:val="00670086"/>
    <w:rsid w:val="006929F8"/>
    <w:rsid w:val="006D3382"/>
    <w:rsid w:val="006F0444"/>
    <w:rsid w:val="007372DE"/>
    <w:rsid w:val="00741721"/>
    <w:rsid w:val="0074354A"/>
    <w:rsid w:val="007827AA"/>
    <w:rsid w:val="00783608"/>
    <w:rsid w:val="007929B2"/>
    <w:rsid w:val="007A790A"/>
    <w:rsid w:val="007B5F55"/>
    <w:rsid w:val="007C0C36"/>
    <w:rsid w:val="007D1013"/>
    <w:rsid w:val="0080201D"/>
    <w:rsid w:val="00817775"/>
    <w:rsid w:val="00817F70"/>
    <w:rsid w:val="008360F5"/>
    <w:rsid w:val="0084597F"/>
    <w:rsid w:val="00861836"/>
    <w:rsid w:val="008A385C"/>
    <w:rsid w:val="008D6DDC"/>
    <w:rsid w:val="008F3445"/>
    <w:rsid w:val="009355FF"/>
    <w:rsid w:val="00961718"/>
    <w:rsid w:val="0097373C"/>
    <w:rsid w:val="009D05F8"/>
    <w:rsid w:val="009D6B60"/>
    <w:rsid w:val="00A17032"/>
    <w:rsid w:val="00A201CD"/>
    <w:rsid w:val="00A84C10"/>
    <w:rsid w:val="00A96440"/>
    <w:rsid w:val="00AE09DB"/>
    <w:rsid w:val="00B03642"/>
    <w:rsid w:val="00B15AC5"/>
    <w:rsid w:val="00B402ED"/>
    <w:rsid w:val="00B47039"/>
    <w:rsid w:val="00B66594"/>
    <w:rsid w:val="00BA47C7"/>
    <w:rsid w:val="00BD40FE"/>
    <w:rsid w:val="00BE61CC"/>
    <w:rsid w:val="00BF60E0"/>
    <w:rsid w:val="00C00F2B"/>
    <w:rsid w:val="00C21362"/>
    <w:rsid w:val="00C26A3F"/>
    <w:rsid w:val="00C6293A"/>
    <w:rsid w:val="00CF1659"/>
    <w:rsid w:val="00D35D37"/>
    <w:rsid w:val="00D41AAA"/>
    <w:rsid w:val="00D420A9"/>
    <w:rsid w:val="00D766EF"/>
    <w:rsid w:val="00D817D3"/>
    <w:rsid w:val="00DD6C5F"/>
    <w:rsid w:val="00E01CD5"/>
    <w:rsid w:val="00E303CF"/>
    <w:rsid w:val="00E33213"/>
    <w:rsid w:val="00E36A1D"/>
    <w:rsid w:val="00E47ED3"/>
    <w:rsid w:val="00E51908"/>
    <w:rsid w:val="00E64052"/>
    <w:rsid w:val="00E712C6"/>
    <w:rsid w:val="00E866E9"/>
    <w:rsid w:val="00EF1F12"/>
    <w:rsid w:val="00EF37EB"/>
    <w:rsid w:val="00EF591C"/>
    <w:rsid w:val="00F00F42"/>
    <w:rsid w:val="00F24330"/>
    <w:rsid w:val="00F41433"/>
    <w:rsid w:val="00F57B97"/>
    <w:rsid w:val="00F7020C"/>
    <w:rsid w:val="00F71D63"/>
    <w:rsid w:val="00F8799E"/>
    <w:rsid w:val="00F96788"/>
    <w:rsid w:val="00FE02C7"/>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1" type="connector" idref="#_x0000_s1029"/>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Calibri" w:eastAsia="Calibri" w:hAnsi="Calibri"/>
      <w:sz w:val="22"/>
      <w:szCs w:val="22"/>
    </w:rPr>
  </w:style>
  <w:style w:type="character" w:customStyle="1" w:styleId="SIMRACbodytextChar">
    <w:name w:val="SIMRAC body text Char"/>
    <w:basedOn w:val="DefaultParagraphFont"/>
    <w:link w:val="SIMRACbodytext"/>
    <w:locked/>
    <w:rsid w:val="00A17032"/>
    <w:rPr>
      <w:rFonts w:ascii="Arial" w:eastAsiaTheme="minorHAnsi" w:hAnsi="Arial" w:cs="Arial"/>
      <w:lang w:val="en-ZA" w:eastAsia="en-GB"/>
    </w:rPr>
  </w:style>
  <w:style w:type="paragraph" w:customStyle="1" w:styleId="SIMRACbodytext">
    <w:name w:val="SIMRAC body text"/>
    <w:basedOn w:val="BlockText"/>
    <w:link w:val="SIMRACbodytextChar"/>
    <w:autoRedefine/>
    <w:rsid w:val="00A17032"/>
    <w:pPr>
      <w:pBdr>
        <w:top w:val="none" w:sz="0" w:space="0" w:color="auto"/>
        <w:left w:val="none" w:sz="0" w:space="0" w:color="auto"/>
        <w:bottom w:val="none" w:sz="0" w:space="0" w:color="auto"/>
        <w:right w:val="none" w:sz="0" w:space="0" w:color="auto"/>
      </w:pBdr>
      <w:spacing w:after="120" w:line="360" w:lineRule="auto"/>
      <w:ind w:left="0" w:right="0"/>
      <w:jc w:val="both"/>
    </w:pPr>
    <w:rPr>
      <w:rFonts w:ascii="Arial" w:eastAsiaTheme="minorHAnsi" w:hAnsi="Arial" w:cs="Arial"/>
      <w:i w:val="0"/>
      <w:iCs w:val="0"/>
      <w:color w:val="auto"/>
      <w:sz w:val="20"/>
      <w:szCs w:val="20"/>
      <w:lang w:val="en-ZA" w:eastAsia="en-GB"/>
    </w:rPr>
  </w:style>
  <w:style w:type="paragraph" w:styleId="BlockText">
    <w:name w:val="Block Text"/>
    <w:basedOn w:val="Normal"/>
    <w:locked/>
    <w:rsid w:val="00F7020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alloonText">
    <w:name w:val="Balloon Text"/>
    <w:basedOn w:val="Normal"/>
    <w:link w:val="BalloonTextChar"/>
    <w:locked/>
    <w:rsid w:val="00F7020C"/>
    <w:rPr>
      <w:rFonts w:ascii="Tahoma" w:hAnsi="Tahoma" w:cs="Tahoma"/>
      <w:sz w:val="16"/>
      <w:szCs w:val="16"/>
    </w:rPr>
  </w:style>
  <w:style w:type="character" w:customStyle="1" w:styleId="BalloonTextChar">
    <w:name w:val="Balloon Text Char"/>
    <w:basedOn w:val="DefaultParagraphFont"/>
    <w:link w:val="BalloonText"/>
    <w:rsid w:val="00F702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gumede@chamberofmines.org.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debeer01@xstrata.co.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ck.Coutts@Harmony.co.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gumede@chamberofmines.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C2413-A3B1-4378-98D6-C48E2D37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27</TotalTime>
  <Pages>5</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13354</CharactersWithSpaces>
  <SharedDoc>false</SharedDoc>
  <HLinks>
    <vt:vector size="54" baseType="variant">
      <vt:variant>
        <vt:i4>1310825</vt:i4>
      </vt:variant>
      <vt:variant>
        <vt:i4>18</vt:i4>
      </vt:variant>
      <vt:variant>
        <vt:i4>0</vt:i4>
      </vt:variant>
      <vt:variant>
        <vt:i4>5</vt:i4>
      </vt:variant>
      <vt:variant>
        <vt:lpwstr>mailto:hgumede@chamberofmines.org.za</vt:lpwstr>
      </vt:variant>
      <vt:variant>
        <vt:lpwstr/>
      </vt:variant>
      <vt:variant>
        <vt:i4>7012375</vt:i4>
      </vt:variant>
      <vt:variant>
        <vt:i4>15</vt:i4>
      </vt:variant>
      <vt:variant>
        <vt:i4>0</vt:i4>
      </vt:variant>
      <vt:variant>
        <vt:i4>5</vt:i4>
      </vt:variant>
      <vt:variant>
        <vt:lpwstr>mailto:jdebeer01@xstrata.co.za</vt:lpwstr>
      </vt:variant>
      <vt:variant>
        <vt:lpwstr/>
      </vt:variant>
      <vt:variant>
        <vt:i4>196659</vt:i4>
      </vt:variant>
      <vt:variant>
        <vt:i4>12</vt:i4>
      </vt:variant>
      <vt:variant>
        <vt:i4>0</vt:i4>
      </vt:variant>
      <vt:variant>
        <vt:i4>5</vt:i4>
      </vt:variant>
      <vt:variant>
        <vt:lpwstr>mailto:Dick.Coutts@Harmony.co.za</vt:lpwstr>
      </vt:variant>
      <vt:variant>
        <vt:lpwstr/>
      </vt:variant>
      <vt:variant>
        <vt:i4>4521991</vt:i4>
      </vt:variant>
      <vt:variant>
        <vt:i4>9</vt:i4>
      </vt:variant>
      <vt:variant>
        <vt:i4>0</vt:i4>
      </vt:variant>
      <vt:variant>
        <vt:i4>5</vt:i4>
      </vt:variant>
      <vt:variant>
        <vt:lpwstr>http://www.mosh.co.za/domino/html/mosh/public/Source Elimination Repository.nsf?OpenDatabase</vt:lpwstr>
      </vt:variant>
      <vt:variant>
        <vt:lpwstr/>
      </vt:variant>
      <vt:variant>
        <vt:i4>5570561</vt:i4>
      </vt:variant>
      <vt:variant>
        <vt:i4>6</vt:i4>
      </vt:variant>
      <vt:variant>
        <vt:i4>0</vt:i4>
      </vt:variant>
      <vt:variant>
        <vt:i4>5</vt:i4>
      </vt:variant>
      <vt:variant>
        <vt:lpwstr>http://www.mosh.co.za/domino/html/mosh/public/Noise.nsf?OpenDatabase</vt:lpwstr>
      </vt:variant>
      <vt:variant>
        <vt:lpwstr/>
      </vt:variant>
      <vt:variant>
        <vt:i4>3997817</vt:i4>
      </vt:variant>
      <vt:variant>
        <vt:i4>3</vt:i4>
      </vt:variant>
      <vt:variant>
        <vt:i4>0</vt:i4>
      </vt:variant>
      <vt:variant>
        <vt:i4>5</vt:i4>
      </vt:variant>
      <vt:variant>
        <vt:lpwstr>http://www.mosh.co.za/domino/html/mosh/public/Main.nsf?OpenDatabase</vt:lpwstr>
      </vt:variant>
      <vt:variant>
        <vt:lpwstr/>
      </vt:variant>
      <vt:variant>
        <vt:i4>2490405</vt:i4>
      </vt:variant>
      <vt:variant>
        <vt:i4>0</vt:i4>
      </vt:variant>
      <vt:variant>
        <vt:i4>0</vt:i4>
      </vt:variant>
      <vt:variant>
        <vt:i4>5</vt:i4>
      </vt:variant>
      <vt:variant>
        <vt:lpwstr>http://www.mosh.org.za/</vt:lpwstr>
      </vt:variant>
      <vt:variant>
        <vt:lpwstr/>
      </vt:variant>
      <vt:variant>
        <vt:i4>1310825</vt:i4>
      </vt:variant>
      <vt:variant>
        <vt:i4>3</vt:i4>
      </vt:variant>
      <vt:variant>
        <vt:i4>0</vt:i4>
      </vt:variant>
      <vt:variant>
        <vt:i4>5</vt:i4>
      </vt:variant>
      <vt:variant>
        <vt:lpwstr>mailto:hgumede@chamberofmines.org.za</vt:lpwstr>
      </vt:variant>
      <vt:variant>
        <vt:lpwstr/>
      </vt:variant>
      <vt:variant>
        <vt:i4>8323125</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4</cp:revision>
  <cp:lastPrinted>2013-03-13T06:24:00Z</cp:lastPrinted>
  <dcterms:created xsi:type="dcterms:W3CDTF">2013-03-13T06:03:00Z</dcterms:created>
  <dcterms:modified xsi:type="dcterms:W3CDTF">2013-03-13T06:31:00Z</dcterms:modified>
</cp:coreProperties>
</file>