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AA" w:rsidRPr="00160894" w:rsidRDefault="00D74DB8" w:rsidP="00131196">
      <w:pPr>
        <w:jc w:val="center"/>
        <w:rPr>
          <w:b/>
          <w:sz w:val="28"/>
        </w:rPr>
      </w:pPr>
      <w:r w:rsidRPr="00160894">
        <w:rPr>
          <w:b/>
          <w:sz w:val="28"/>
        </w:rPr>
        <w:t xml:space="preserve">Note for the record in respect of a MOSH </w:t>
      </w:r>
      <w:proofErr w:type="spellStart"/>
      <w:r w:rsidRPr="00160894">
        <w:rPr>
          <w:b/>
          <w:sz w:val="28"/>
        </w:rPr>
        <w:t>Behavioural</w:t>
      </w:r>
      <w:proofErr w:type="spellEnd"/>
      <w:r w:rsidRPr="00160894">
        <w:rPr>
          <w:b/>
          <w:sz w:val="28"/>
        </w:rPr>
        <w:t xml:space="preserve"> Interest Group meeting held on 30 October 2013</w:t>
      </w:r>
      <w:r w:rsidR="00160894" w:rsidRPr="00160894">
        <w:rPr>
          <w:b/>
          <w:sz w:val="28"/>
        </w:rPr>
        <w:t xml:space="preserve"> at the </w:t>
      </w:r>
      <w:proofErr w:type="spellStart"/>
      <w:r w:rsidR="00160894" w:rsidRPr="00160894">
        <w:rPr>
          <w:b/>
          <w:sz w:val="28"/>
        </w:rPr>
        <w:t>Sibanye</w:t>
      </w:r>
      <w:proofErr w:type="spellEnd"/>
      <w:r w:rsidR="00160894" w:rsidRPr="00160894">
        <w:rPr>
          <w:b/>
          <w:sz w:val="28"/>
        </w:rPr>
        <w:t xml:space="preserve"> Gold Academy</w:t>
      </w:r>
    </w:p>
    <w:p w:rsidR="00131196" w:rsidRDefault="00131196" w:rsidP="00131196">
      <w:pPr>
        <w:rPr>
          <w:b/>
          <w:sz w:val="24"/>
        </w:rPr>
      </w:pPr>
    </w:p>
    <w:p w:rsidR="00131196" w:rsidRPr="00131196" w:rsidRDefault="00131196" w:rsidP="00131196">
      <w:pPr>
        <w:rPr>
          <w:b/>
          <w:sz w:val="24"/>
        </w:rPr>
      </w:pPr>
      <w:r>
        <w:rPr>
          <w:b/>
          <w:sz w:val="24"/>
        </w:rPr>
        <w:t>Attendance</w:t>
      </w:r>
    </w:p>
    <w:tbl>
      <w:tblPr>
        <w:tblW w:w="5000" w:type="pct"/>
        <w:tblLook w:val="04A0"/>
      </w:tblPr>
      <w:tblGrid>
        <w:gridCol w:w="1523"/>
        <w:gridCol w:w="1542"/>
        <w:gridCol w:w="3233"/>
        <w:gridCol w:w="1210"/>
        <w:gridCol w:w="1034"/>
        <w:gridCol w:w="1034"/>
      </w:tblGrid>
      <w:tr w:rsidR="00A771EE" w:rsidRPr="00A771EE" w:rsidTr="00131196">
        <w:trPr>
          <w:trHeight w:val="315"/>
        </w:trPr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1EE" w:rsidRPr="003444D0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  <w:p w:rsidR="00A771EE" w:rsidRPr="003444D0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4"/>
              </w:rPr>
            </w:pPr>
            <w:r w:rsidRPr="00A771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4"/>
              </w:rPr>
              <w:t>20131010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4"/>
              </w:rPr>
            </w:pPr>
            <w:r w:rsidRPr="00A771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4"/>
              </w:rPr>
              <w:t>20131030</w:t>
            </w: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COM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Douw Cronje</w:t>
            </w: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4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dcronje@chamberofmines.org.za</w:t>
              </w:r>
            </w:hyperlink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082 451 4475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196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Anglo Platinum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Tom van den Berg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5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tom.vandenberg@angloamerican.com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082 883 4571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Anglo Platinum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Yolande</w:t>
            </w:r>
            <w:proofErr w:type="spellEnd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 xml:space="preserve"> Muller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6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yolande.muller@angloamerican.com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Anglo Platinum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 xml:space="preserve">Piet </w:t>
            </w: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Bekker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7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piet.becker@angloamerican.com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083 455 7194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AngogoldAshanti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Grant Friedman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8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GFreedman@AngloGoldAshanti.com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083 444 2966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Apology</w:t>
            </w: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ARM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Busi</w:t>
            </w:r>
            <w:proofErr w:type="spellEnd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Mashiane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9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busi.mashiane@arm.co.za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082 370 2591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Coaltech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Cor</w:t>
            </w:r>
            <w:proofErr w:type="spellEnd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 xml:space="preserve"> Meyer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10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varicon@pixie.co.za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082 893 3430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Apology</w:t>
            </w: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Coaltech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Edmund Rudman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11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erudman@telkomsa.net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083 627 5462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Consultant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 xml:space="preserve">Johann </w:t>
            </w: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Uys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joeuys@lantic.net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3444D0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Not invited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3444D0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Not invited</w:t>
            </w: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Exstrata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Yolandi</w:t>
            </w:r>
            <w:proofErr w:type="spellEnd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Combrink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12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yolandi.combrink@glencore.co.za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Exstrata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 xml:space="preserve">Hilda </w:t>
            </w: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Nienaber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13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hilda.nienaber@glencore.co.za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Harmony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Gawie</w:t>
            </w:r>
            <w:proofErr w:type="spellEnd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Herholds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14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gawie.heroldt@harmony.co.za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082 303 2003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Apology</w:t>
            </w: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Impala Platinum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 xml:space="preserve">Carla </w:t>
            </w: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Radloff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15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carla.radloff@implats.co.za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Impala Platinum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Corne</w:t>
            </w:r>
            <w:proofErr w:type="spellEnd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 xml:space="preserve"> van </w:t>
            </w: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Dyk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16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corne.vandyk@implats.co.za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083 539 5543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Impala Platinum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 xml:space="preserve">Grant </w:t>
            </w: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Gatzke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17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grant.gatzke@implats.co.za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082 804 5236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Lonmin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Charl</w:t>
            </w:r>
            <w:proofErr w:type="spellEnd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Viljoen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18" w:history="1">
              <w:r w:rsidR="00131196" w:rsidRPr="00AF02B8">
                <w:rPr>
                  <w:rStyle w:val="Hyperlink"/>
                  <w:rFonts w:ascii="Calibri" w:eastAsia="Times New Roman" w:hAnsi="Calibri" w:cs="Calibri"/>
                  <w:sz w:val="18"/>
                </w:rPr>
                <w:t>charl.viljoen@lonmin.com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Not joined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Not joined</w:t>
            </w: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Sibanye</w:t>
            </w:r>
            <w:proofErr w:type="spellEnd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 xml:space="preserve"> Gold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Duncan Scott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19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duncan.scott@sibanyegold.co.za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A</w:t>
            </w:r>
            <w:r w:rsidR="00131196">
              <w:rPr>
                <w:rFonts w:ascii="Calibri" w:eastAsia="Times New Roman" w:hAnsi="Calibri" w:cs="Calibri"/>
                <w:color w:val="000000"/>
                <w:sz w:val="18"/>
              </w:rPr>
              <w:t>pology</w:t>
            </w: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Sibanye</w:t>
            </w:r>
            <w:proofErr w:type="spellEnd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 xml:space="preserve"> Gold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Graham Brooks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20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graham.brooks@sibanyegold.co.za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076 164 8849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</w:tr>
      <w:tr w:rsidR="00A771EE" w:rsidRPr="00A771EE" w:rsidTr="00131196">
        <w:trPr>
          <w:trHeight w:val="30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South Deep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 xml:space="preserve">Mike de </w:t>
            </w:r>
            <w:proofErr w:type="spellStart"/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Koker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7373EB" w:rsidP="00A771E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u w:val="single"/>
              </w:rPr>
            </w:pPr>
            <w:hyperlink r:id="rId21" w:history="1">
              <w:r w:rsidR="00A771EE" w:rsidRPr="003444D0">
                <w:rPr>
                  <w:rFonts w:ascii="Calibri" w:eastAsia="Times New Roman" w:hAnsi="Calibri" w:cs="Calibri"/>
                  <w:color w:val="0000FF"/>
                  <w:sz w:val="18"/>
                  <w:u w:val="single"/>
                </w:rPr>
                <w:t>mike.dekoker@goldfields.co.za</w:t>
              </w:r>
            </w:hyperlink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A771EE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A771EE">
              <w:rPr>
                <w:rFonts w:ascii="Calibri" w:eastAsia="Times New Roman" w:hAnsi="Calibri" w:cs="Calibri"/>
                <w:color w:val="000000"/>
                <w:sz w:val="18"/>
              </w:rPr>
              <w:t>082 057 5317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EE" w:rsidRPr="00A771EE" w:rsidRDefault="00131196" w:rsidP="00A7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Present</w:t>
            </w:r>
          </w:p>
        </w:tc>
      </w:tr>
    </w:tbl>
    <w:p w:rsidR="00D74DB8" w:rsidRDefault="00D74DB8"/>
    <w:tbl>
      <w:tblPr>
        <w:tblStyle w:val="TableGrid"/>
        <w:tblW w:w="0" w:type="auto"/>
        <w:tblLook w:val="04A0"/>
      </w:tblPr>
      <w:tblGrid>
        <w:gridCol w:w="495"/>
        <w:gridCol w:w="8098"/>
        <w:gridCol w:w="983"/>
      </w:tblGrid>
      <w:tr w:rsidR="00AE6D43" w:rsidTr="00AE6D43">
        <w:tc>
          <w:tcPr>
            <w:tcW w:w="468" w:type="dxa"/>
          </w:tcPr>
          <w:p w:rsidR="00AE6D43" w:rsidRPr="00AE6D43" w:rsidRDefault="00AE6D43" w:rsidP="00AE6D4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124" w:type="dxa"/>
          </w:tcPr>
          <w:p w:rsidR="00AE6D43" w:rsidRPr="00AE6D43" w:rsidRDefault="00AE6D43" w:rsidP="00AE6D43">
            <w:pPr>
              <w:jc w:val="center"/>
              <w:rPr>
                <w:b/>
              </w:rPr>
            </w:pPr>
            <w:r w:rsidRPr="00AE6D43">
              <w:rPr>
                <w:b/>
              </w:rPr>
              <w:t>Discussion</w:t>
            </w:r>
          </w:p>
        </w:tc>
        <w:tc>
          <w:tcPr>
            <w:tcW w:w="984" w:type="dxa"/>
          </w:tcPr>
          <w:p w:rsidR="00AE6D43" w:rsidRPr="00AE6D43" w:rsidRDefault="00AE6D43" w:rsidP="00AE6D43">
            <w:pPr>
              <w:jc w:val="center"/>
              <w:rPr>
                <w:b/>
              </w:rPr>
            </w:pPr>
            <w:r w:rsidRPr="00AE6D43">
              <w:rPr>
                <w:b/>
              </w:rPr>
              <w:t>Action</w:t>
            </w:r>
          </w:p>
        </w:tc>
      </w:tr>
      <w:tr w:rsidR="00AE6D43" w:rsidTr="00AE6D43">
        <w:tc>
          <w:tcPr>
            <w:tcW w:w="468" w:type="dxa"/>
          </w:tcPr>
          <w:p w:rsidR="00AE6D43" w:rsidRDefault="00AE6D43">
            <w:r>
              <w:t>1.</w:t>
            </w:r>
          </w:p>
        </w:tc>
        <w:tc>
          <w:tcPr>
            <w:tcW w:w="8124" w:type="dxa"/>
          </w:tcPr>
          <w:p w:rsidR="00AE6D43" w:rsidRDefault="00C05147">
            <w:r>
              <w:t>Douw</w:t>
            </w:r>
            <w:r w:rsidR="00AE6D43">
              <w:t xml:space="preserve"> Cronje facilitated discussions.</w:t>
            </w:r>
            <w:r w:rsidR="00651797">
              <w:t xml:space="preserve">  He thanked </w:t>
            </w:r>
            <w:proofErr w:type="spellStart"/>
            <w:r w:rsidR="00651797">
              <w:t>Sibanye</w:t>
            </w:r>
            <w:proofErr w:type="spellEnd"/>
            <w:r w:rsidR="00651797">
              <w:t xml:space="preserve"> Gold for hosting the meeting.</w:t>
            </w:r>
          </w:p>
        </w:tc>
        <w:tc>
          <w:tcPr>
            <w:tcW w:w="984" w:type="dxa"/>
          </w:tcPr>
          <w:p w:rsidR="00AE6D43" w:rsidRDefault="00AE6D43"/>
        </w:tc>
      </w:tr>
      <w:tr w:rsidR="00AE6D43" w:rsidTr="00AE6D43">
        <w:tc>
          <w:tcPr>
            <w:tcW w:w="468" w:type="dxa"/>
          </w:tcPr>
          <w:p w:rsidR="00AE6D43" w:rsidRDefault="00AE6D43" w:rsidP="00AE6D43">
            <w:r>
              <w:t>2.</w:t>
            </w:r>
          </w:p>
        </w:tc>
        <w:tc>
          <w:tcPr>
            <w:tcW w:w="8124" w:type="dxa"/>
          </w:tcPr>
          <w:p w:rsidR="00AE6D43" w:rsidRDefault="00C05147" w:rsidP="00651797">
            <w:r>
              <w:t xml:space="preserve">Graham </w:t>
            </w:r>
            <w:r w:rsidR="00AE6D43">
              <w:t xml:space="preserve">Brooks gave a presentation on the initiative on </w:t>
            </w:r>
            <w:proofErr w:type="spellStart"/>
            <w:r w:rsidR="00AE6D43">
              <w:t>behavioural</w:t>
            </w:r>
            <w:proofErr w:type="spellEnd"/>
            <w:r w:rsidR="00AE6D43">
              <w:t xml:space="preserve"> change underway at </w:t>
            </w:r>
            <w:proofErr w:type="spellStart"/>
            <w:r w:rsidR="00AE6D43">
              <w:t>Sibanye</w:t>
            </w:r>
            <w:proofErr w:type="spellEnd"/>
            <w:r w:rsidR="00AE6D43">
              <w:t xml:space="preserve"> Gold.  Those </w:t>
            </w:r>
            <w:r w:rsidR="00651797">
              <w:t>in attendance</w:t>
            </w:r>
            <w:r w:rsidR="00AE6D43">
              <w:t xml:space="preserve"> found the presentation insightful and the extensive discussion around it valuable.  It was agreed that, at the next meeting, Anglo American Platinum will share some of their experiences</w:t>
            </w:r>
            <w:r>
              <w:t>.</w:t>
            </w:r>
          </w:p>
        </w:tc>
        <w:tc>
          <w:tcPr>
            <w:tcW w:w="984" w:type="dxa"/>
          </w:tcPr>
          <w:p w:rsidR="00AE6D43" w:rsidRDefault="00C05147" w:rsidP="00C05147">
            <w:proofErr w:type="spellStart"/>
            <w:r>
              <w:t>T</w:t>
            </w:r>
            <w:r w:rsidR="008A74CE">
              <w:t>vdB</w:t>
            </w:r>
            <w:proofErr w:type="spellEnd"/>
          </w:p>
        </w:tc>
      </w:tr>
      <w:tr w:rsidR="00AE6D43" w:rsidTr="00AE6D43">
        <w:tc>
          <w:tcPr>
            <w:tcW w:w="468" w:type="dxa"/>
          </w:tcPr>
          <w:p w:rsidR="00AE6D43" w:rsidRDefault="00AE6D43" w:rsidP="00AE6D43">
            <w:r>
              <w:t>3</w:t>
            </w:r>
          </w:p>
        </w:tc>
        <w:tc>
          <w:tcPr>
            <w:tcW w:w="8124" w:type="dxa"/>
          </w:tcPr>
          <w:p w:rsidR="00AE6D43" w:rsidRDefault="00AE6D43" w:rsidP="00C05147">
            <w:r>
              <w:t xml:space="preserve">The meeting discussed the way forward for the </w:t>
            </w:r>
            <w:r w:rsidR="00C05147">
              <w:t>I</w:t>
            </w:r>
            <w:r>
              <w:t xml:space="preserve">nterest </w:t>
            </w:r>
            <w:r w:rsidR="00C05147">
              <w:t>G</w:t>
            </w:r>
            <w:r>
              <w:t xml:space="preserve">roup.  The last slide presented by </w:t>
            </w:r>
            <w:r w:rsidR="00C05147">
              <w:t>Douw</w:t>
            </w:r>
            <w:r>
              <w:t xml:space="preserve"> Cronje at the meeting of 10 October (copied below) was used as point of departure.  The following was agreed:</w:t>
            </w:r>
          </w:p>
        </w:tc>
        <w:tc>
          <w:tcPr>
            <w:tcW w:w="984" w:type="dxa"/>
          </w:tcPr>
          <w:p w:rsidR="00AE6D43" w:rsidRDefault="00AE6D43"/>
        </w:tc>
      </w:tr>
      <w:tr w:rsidR="00AE6D43" w:rsidTr="00AE6D43">
        <w:tc>
          <w:tcPr>
            <w:tcW w:w="468" w:type="dxa"/>
          </w:tcPr>
          <w:p w:rsidR="00AE6D43" w:rsidRDefault="00AE6D43" w:rsidP="00AE6D43">
            <w:r>
              <w:t>3.1</w:t>
            </w:r>
          </w:p>
        </w:tc>
        <w:tc>
          <w:tcPr>
            <w:tcW w:w="8124" w:type="dxa"/>
          </w:tcPr>
          <w:p w:rsidR="00AE6D43" w:rsidRDefault="00AE6D43" w:rsidP="00C05147">
            <w:r>
              <w:t xml:space="preserve">The </w:t>
            </w:r>
            <w:r w:rsidR="00C05147">
              <w:t>I</w:t>
            </w:r>
            <w:r>
              <w:t xml:space="preserve">nterest </w:t>
            </w:r>
            <w:r w:rsidR="00C05147">
              <w:t>G</w:t>
            </w:r>
            <w:r>
              <w:t>roup needs to be representative of the major companies in the mining industry.  In addition to those who already participate, representation from at least the following companies</w:t>
            </w:r>
            <w:r w:rsidR="00235269">
              <w:t xml:space="preserve"> should be sought: Sasol Mining, Total Mining, BECSA, De Beers, Rio Tinto, </w:t>
            </w:r>
            <w:proofErr w:type="spellStart"/>
            <w:r w:rsidR="00235269">
              <w:t>Glencor</w:t>
            </w:r>
            <w:proofErr w:type="spellEnd"/>
            <w:r w:rsidR="00235269">
              <w:t xml:space="preserve">, </w:t>
            </w:r>
            <w:proofErr w:type="spellStart"/>
            <w:r w:rsidR="00235269">
              <w:t>Kumba</w:t>
            </w:r>
            <w:proofErr w:type="spellEnd"/>
            <w:r w:rsidR="00235269">
              <w:t xml:space="preserve"> and </w:t>
            </w:r>
            <w:proofErr w:type="spellStart"/>
            <w:r w:rsidR="00235269">
              <w:t>Lonmin</w:t>
            </w:r>
            <w:proofErr w:type="spellEnd"/>
            <w:r w:rsidR="00235269">
              <w:t xml:space="preserve">.  Members are asked to notify </w:t>
            </w:r>
            <w:r w:rsidR="00C05147">
              <w:t>Douw</w:t>
            </w:r>
            <w:r w:rsidR="00235269">
              <w:t xml:space="preserve"> of contact persons they have access to in these companies so that invitations can be sent out to </w:t>
            </w:r>
            <w:r w:rsidR="00235269">
              <w:lastRenderedPageBreak/>
              <w:t>them.</w:t>
            </w:r>
          </w:p>
        </w:tc>
        <w:tc>
          <w:tcPr>
            <w:tcW w:w="984" w:type="dxa"/>
          </w:tcPr>
          <w:p w:rsidR="00AE6D43" w:rsidRDefault="00235269">
            <w:r>
              <w:lastRenderedPageBreak/>
              <w:t>All</w:t>
            </w:r>
          </w:p>
        </w:tc>
      </w:tr>
      <w:tr w:rsidR="00235269" w:rsidTr="00AE6D43">
        <w:tc>
          <w:tcPr>
            <w:tcW w:w="468" w:type="dxa"/>
          </w:tcPr>
          <w:p w:rsidR="00235269" w:rsidRDefault="00235269" w:rsidP="00AE6D43">
            <w:r>
              <w:lastRenderedPageBreak/>
              <w:t>3.2</w:t>
            </w:r>
          </w:p>
        </w:tc>
        <w:tc>
          <w:tcPr>
            <w:tcW w:w="8124" w:type="dxa"/>
          </w:tcPr>
          <w:p w:rsidR="00235269" w:rsidRDefault="00235269" w:rsidP="00235269">
            <w:r>
              <w:t xml:space="preserve">In addition to the major companies being involved, the need was also expressed to </w:t>
            </w:r>
            <w:proofErr w:type="spellStart"/>
            <w:r>
              <w:t>endeavour</w:t>
            </w:r>
            <w:proofErr w:type="spellEnd"/>
            <w:r>
              <w:t xml:space="preserve"> to have people with the best available knowledge on </w:t>
            </w:r>
            <w:proofErr w:type="spellStart"/>
            <w:r>
              <w:t>behaviour</w:t>
            </w:r>
            <w:proofErr w:type="spellEnd"/>
            <w:r>
              <w:t xml:space="preserve"> change, irrespective of where they are from, involved in the </w:t>
            </w:r>
            <w:r w:rsidR="00C05147">
              <w:t>I</w:t>
            </w:r>
            <w:r>
              <w:t xml:space="preserve">nterest </w:t>
            </w:r>
            <w:r w:rsidR="00C05147">
              <w:t>G</w:t>
            </w:r>
            <w:r>
              <w:t xml:space="preserve">roup.  Again, members to forward contact details to </w:t>
            </w:r>
            <w:r w:rsidR="00C05147">
              <w:t>Douw</w:t>
            </w:r>
            <w:r>
              <w:t>.</w:t>
            </w:r>
          </w:p>
          <w:p w:rsidR="00235269" w:rsidRDefault="00235269" w:rsidP="00235269"/>
          <w:p w:rsidR="00235269" w:rsidRDefault="00235269" w:rsidP="00C05147">
            <w:r>
              <w:t xml:space="preserve">With regard to consultants, </w:t>
            </w:r>
            <w:r w:rsidR="00C05147">
              <w:t>Douw</w:t>
            </w:r>
            <w:r>
              <w:t xml:space="preserve"> stated that he could not, as a representative of the Chamber of Mines, promote the work or approach of any particular consultant on a platform</w:t>
            </w:r>
            <w:r w:rsidR="00CE72A0">
              <w:t xml:space="preserve"> in the name of the interest group.  However, where a</w:t>
            </w:r>
            <w:r w:rsidR="008A74CE">
              <w:t xml:space="preserve"> Company</w:t>
            </w:r>
            <w:r w:rsidR="00CE72A0">
              <w:t xml:space="preserve"> </w:t>
            </w:r>
            <w:r w:rsidR="008A74CE">
              <w:t>(</w:t>
            </w:r>
            <w:r w:rsidR="00CE72A0">
              <w:t>Chamber</w:t>
            </w:r>
            <w:r w:rsidR="008A74CE">
              <w:t xml:space="preserve"> member) </w:t>
            </w:r>
            <w:r w:rsidR="00C05147">
              <w:t>makes</w:t>
            </w:r>
            <w:r w:rsidR="008A74CE">
              <w:t xml:space="preserve"> use of consultants to affect </w:t>
            </w:r>
            <w:proofErr w:type="spellStart"/>
            <w:r w:rsidR="008A74CE">
              <w:t>behavioural</w:t>
            </w:r>
            <w:proofErr w:type="spellEnd"/>
            <w:r w:rsidR="008A74CE">
              <w:t xml:space="preserve"> change in their organizations, they are at liberty to invite those consultants to be involved in the interest group with them or on their behalf.</w:t>
            </w:r>
          </w:p>
        </w:tc>
        <w:tc>
          <w:tcPr>
            <w:tcW w:w="984" w:type="dxa"/>
          </w:tcPr>
          <w:p w:rsidR="00235269" w:rsidRDefault="008A74CE">
            <w:r>
              <w:t>All</w:t>
            </w:r>
          </w:p>
        </w:tc>
      </w:tr>
      <w:tr w:rsidR="008A74CE" w:rsidTr="00AE6D43">
        <w:tc>
          <w:tcPr>
            <w:tcW w:w="468" w:type="dxa"/>
          </w:tcPr>
          <w:p w:rsidR="008A74CE" w:rsidRDefault="008A74CE" w:rsidP="00AE6D43">
            <w:r>
              <w:t>3.3</w:t>
            </w:r>
          </w:p>
        </w:tc>
        <w:tc>
          <w:tcPr>
            <w:tcW w:w="8124" w:type="dxa"/>
          </w:tcPr>
          <w:p w:rsidR="008A74CE" w:rsidRDefault="008A74CE" w:rsidP="00235269">
            <w:r>
              <w:t>The next step would be to look for potential leading practices (as per the second point on the slide below).  To this end, the following steps will be taken:</w:t>
            </w:r>
          </w:p>
          <w:p w:rsidR="008A74CE" w:rsidRDefault="008A74CE" w:rsidP="00235269">
            <w:r>
              <w:t>3.3.1  Mines with excellent safety records will be approached</w:t>
            </w:r>
          </w:p>
          <w:p w:rsidR="008A74CE" w:rsidRDefault="008A74CE" w:rsidP="00235269">
            <w:r>
              <w:t>3.3.2  Professional associations (AMRE, SACMA, SACEPA, etc) will be approached</w:t>
            </w:r>
          </w:p>
          <w:p w:rsidR="008A74CE" w:rsidRDefault="008A74CE" w:rsidP="00235269">
            <w:r>
              <w:t>3.3.3  CEO’s will be consulted</w:t>
            </w:r>
          </w:p>
        </w:tc>
        <w:tc>
          <w:tcPr>
            <w:tcW w:w="984" w:type="dxa"/>
          </w:tcPr>
          <w:p w:rsidR="008A74CE" w:rsidRDefault="008A74CE">
            <w:proofErr w:type="spellStart"/>
            <w:r>
              <w:t>TvdB</w:t>
            </w:r>
            <w:proofErr w:type="spellEnd"/>
          </w:p>
          <w:p w:rsidR="008A74CE" w:rsidRDefault="008A74CE">
            <w:r>
              <w:t>DC</w:t>
            </w:r>
          </w:p>
          <w:p w:rsidR="008A74CE" w:rsidRDefault="008A74CE">
            <w:r>
              <w:t>PB</w:t>
            </w:r>
          </w:p>
        </w:tc>
      </w:tr>
      <w:tr w:rsidR="008A74CE" w:rsidTr="00AE6D43">
        <w:tc>
          <w:tcPr>
            <w:tcW w:w="468" w:type="dxa"/>
          </w:tcPr>
          <w:p w:rsidR="008A74CE" w:rsidRDefault="008A74CE" w:rsidP="00AE6D43">
            <w:r>
              <w:t>3.4</w:t>
            </w:r>
          </w:p>
        </w:tc>
        <w:tc>
          <w:tcPr>
            <w:tcW w:w="8124" w:type="dxa"/>
          </w:tcPr>
          <w:p w:rsidR="008A74CE" w:rsidRDefault="008A74CE" w:rsidP="00C05147">
            <w:r>
              <w:t>Tom van den Berg, Douw Cronje and Piet Be</w:t>
            </w:r>
            <w:r w:rsidR="00C05147">
              <w:t>c</w:t>
            </w:r>
            <w:r>
              <w:t>ker will form a team that will run with the day-to-day activities of the Interest Group between meetings</w:t>
            </w:r>
          </w:p>
        </w:tc>
        <w:tc>
          <w:tcPr>
            <w:tcW w:w="984" w:type="dxa"/>
          </w:tcPr>
          <w:p w:rsidR="008A74CE" w:rsidRDefault="008A74CE" w:rsidP="008A74CE">
            <w:proofErr w:type="spellStart"/>
            <w:r>
              <w:t>TvdB</w:t>
            </w:r>
            <w:proofErr w:type="spellEnd"/>
          </w:p>
          <w:p w:rsidR="008A74CE" w:rsidRDefault="008A74CE" w:rsidP="008A74CE">
            <w:r>
              <w:t>DC</w:t>
            </w:r>
          </w:p>
          <w:p w:rsidR="008A74CE" w:rsidRDefault="008A74CE" w:rsidP="008A74CE">
            <w:r>
              <w:t>PB</w:t>
            </w:r>
          </w:p>
        </w:tc>
      </w:tr>
      <w:tr w:rsidR="00C05147" w:rsidTr="00AE6D43">
        <w:tc>
          <w:tcPr>
            <w:tcW w:w="468" w:type="dxa"/>
          </w:tcPr>
          <w:p w:rsidR="00C05147" w:rsidRDefault="00C05147" w:rsidP="00AE6D43">
            <w:r>
              <w:t>3.5</w:t>
            </w:r>
          </w:p>
        </w:tc>
        <w:tc>
          <w:tcPr>
            <w:tcW w:w="8124" w:type="dxa"/>
          </w:tcPr>
          <w:p w:rsidR="00C05147" w:rsidRDefault="00C05147" w:rsidP="00C05147">
            <w:r>
              <w:t>The next meeting will be hosted by Anglo American Platinum on 27 November.  Arrangements to follow.</w:t>
            </w:r>
          </w:p>
        </w:tc>
        <w:tc>
          <w:tcPr>
            <w:tcW w:w="984" w:type="dxa"/>
          </w:tcPr>
          <w:p w:rsidR="00C05147" w:rsidRDefault="00C05147" w:rsidP="008A74CE">
            <w:r>
              <w:t>PB</w:t>
            </w:r>
          </w:p>
        </w:tc>
      </w:tr>
    </w:tbl>
    <w:p w:rsidR="00AE6D43" w:rsidRDefault="00AE6D43"/>
    <w:p w:rsidR="00D74DB8" w:rsidRDefault="00D410B2">
      <w:r w:rsidRPr="00160894">
        <w:rPr>
          <w:noProof/>
          <w:bdr w:val="single" w:sz="4" w:space="0" w:color="auto"/>
        </w:rPr>
        <w:drawing>
          <wp:inline distT="0" distB="0" distL="0" distR="0">
            <wp:extent cx="5943600" cy="4099560"/>
            <wp:effectExtent l="0" t="0" r="0" b="0"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58200" cy="5833884"/>
                      <a:chOff x="381000" y="457200"/>
                      <a:chExt cx="8458200" cy="5833884"/>
                    </a:xfrm>
                  </a:grpSpPr>
                  <a:sp>
                    <a:nvSpPr>
                      <a:cNvPr id="2" name="Title 1"/>
                      <a:cNvSpPr txBox="1">
                        <a:spLocks/>
                      </a:cNvSpPr>
                    </a:nvSpPr>
                    <a:spPr>
                      <a:xfrm>
                        <a:off x="457200" y="2438400"/>
                        <a:ext cx="8229600" cy="114300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en-US" sz="4800" b="1" i="0" u="none" strike="noStrike" kern="1200" cap="none" spc="0" normalizeH="0" baseline="0" noProof="0" smtClean="0">
                              <a:ln>
                                <a:noFill/>
                              </a:ln>
                              <a:effectLst/>
                              <a:uLnTx/>
                              <a:uFillTx/>
                              <a:latin typeface="+mj-lt"/>
                              <a:ea typeface="+mj-ea"/>
                              <a:cs typeface="+mj-cs"/>
                            </a:rPr>
                            <a:t/>
                          </a:r>
                          <a:br>
                            <a:rPr kumimoji="0" lang="en-US" sz="4800" b="1" i="0" u="none" strike="noStrike" kern="1200" cap="none" spc="0" normalizeH="0" baseline="0" noProof="0" smtClean="0">
                              <a:ln>
                                <a:noFill/>
                              </a:ln>
                              <a:effectLst/>
                              <a:uLnTx/>
                              <a:uFillTx/>
                              <a:latin typeface="+mj-lt"/>
                              <a:ea typeface="+mj-ea"/>
                              <a:cs typeface="+mj-cs"/>
                            </a:rPr>
                          </a:br>
                          <a:endParaRPr kumimoji="0" lang="en-US" sz="4800" b="1" i="0" u="none" strike="noStrike" kern="1200" cap="none" spc="0" normalizeH="0" baseline="0" noProof="0" dirty="0">
                            <a:ln>
                              <a:noFill/>
                            </a:ln>
                            <a:effectLst/>
                            <a:uLnTx/>
                            <a:uFillTx/>
                            <a:latin typeface="+mj-lt"/>
                            <a:ea typeface="+mj-ea"/>
                            <a:cs typeface="+mj-cs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" name="TextBox 2"/>
                      <a:cNvSpPr txBox="1"/>
                    </a:nvSpPr>
                    <a:spPr>
                      <a:xfrm>
                        <a:off x="838200" y="457200"/>
                        <a:ext cx="7391400" cy="58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3200" dirty="0" smtClean="0"/>
                            <a:t>Proposed way forward</a:t>
                          </a:r>
                          <a:endParaRPr lang="en-US" sz="3200" dirty="0"/>
                        </a:p>
                      </a:txBody>
                      <a:useSpRect/>
                    </a:txSp>
                  </a:sp>
                  <a:sp>
                    <a:nvSpPr>
                      <a:cNvPr id="4" name="TextBox 3"/>
                      <a:cNvSpPr txBox="1"/>
                    </a:nvSpPr>
                    <a:spPr>
                      <a:xfrm>
                        <a:off x="381000" y="1143000"/>
                        <a:ext cx="8458200" cy="13234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lvl="0"/>
                          <a:r>
                            <a:rPr lang="en-US" sz="2800" b="1" dirty="0" smtClean="0"/>
                            <a:t>Formally constitute an interest group</a:t>
                          </a:r>
                        </a:p>
                        <a:p>
                          <a:pPr lvl="0">
                            <a:buFont typeface="Arial" pitchFamily="34" charset="0"/>
                            <a:buChar char="•"/>
                          </a:pPr>
                          <a:r>
                            <a:rPr lang="en-US" sz="2800" dirty="0" smtClean="0"/>
                            <a:t>  </a:t>
                          </a:r>
                          <a:r>
                            <a:rPr lang="en-US" sz="2400" dirty="0" smtClean="0"/>
                            <a:t>Involve the whole industry</a:t>
                          </a:r>
                        </a:p>
                        <a:p>
                          <a:pPr lvl="0">
                            <a:buFont typeface="Arial" pitchFamily="34" charset="0"/>
                            <a:buChar char="•"/>
                          </a:pPr>
                          <a:r>
                            <a:rPr lang="en-US" sz="2400" dirty="0" smtClean="0"/>
                            <a:t>  Get the best available knowledge to participate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TextBox 4"/>
                      <a:cNvSpPr txBox="1"/>
                    </a:nvSpPr>
                    <a:spPr>
                      <a:xfrm>
                        <a:off x="381000" y="5029200"/>
                        <a:ext cx="8458200" cy="12618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lvl="0"/>
                          <a:r>
                            <a:rPr lang="en-US" sz="2800" b="1" dirty="0" smtClean="0"/>
                            <a:t>Regular meetings to:</a:t>
                          </a:r>
                        </a:p>
                        <a:p>
                          <a:pPr>
                            <a:buFont typeface="Arial" pitchFamily="34" charset="0"/>
                            <a:buChar char="•"/>
                          </a:pPr>
                          <a:r>
                            <a:rPr lang="en-US" sz="2400" dirty="0" smtClean="0"/>
                            <a:t>  Share experiences</a:t>
                          </a:r>
                        </a:p>
                        <a:p>
                          <a:pPr marL="171450" lvl="0" indent="-171450">
                            <a:buFont typeface="Arial" pitchFamily="34" charset="0"/>
                            <a:buChar char="•"/>
                            <a:defRPr/>
                          </a:pPr>
                          <a:r>
                            <a:rPr lang="en-US" sz="2400" dirty="0" smtClean="0"/>
                            <a:t>Learn from each other</a:t>
                          </a:r>
                          <a:endParaRPr lang="en-ZA" sz="2400" dirty="0" smtClean="0"/>
                        </a:p>
                      </a:txBody>
                      <a:useSpRect/>
                    </a:txSp>
                  </a:sp>
                  <a:sp>
                    <a:nvSpPr>
                      <a:cNvPr id="6" name="TextBox 5"/>
                      <a:cNvSpPr txBox="1"/>
                    </a:nvSpPr>
                    <a:spPr>
                      <a:xfrm>
                        <a:off x="381000" y="2514600"/>
                        <a:ext cx="8458200" cy="2431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lvl="0"/>
                          <a:r>
                            <a:rPr lang="en-US" sz="2800" b="1" dirty="0" smtClean="0"/>
                            <a:t>Workshop(s) to look for LP’s in the areas of:</a:t>
                          </a:r>
                        </a:p>
                        <a:p>
                          <a:pPr>
                            <a:buFont typeface="Arial" pitchFamily="34" charset="0"/>
                            <a:buChar char="•"/>
                          </a:pPr>
                          <a:r>
                            <a:rPr lang="en-US" sz="2800" dirty="0" smtClean="0"/>
                            <a:t> </a:t>
                          </a:r>
                          <a:r>
                            <a:rPr lang="en-US" sz="2400" dirty="0" smtClean="0"/>
                            <a:t>Communication materials</a:t>
                          </a:r>
                          <a:endParaRPr lang="en-ZA" sz="2400" dirty="0" smtClean="0"/>
                        </a:p>
                        <a:p>
                          <a:pPr marL="171450" lvl="0" indent="-171450">
                            <a:buFont typeface="Arial" pitchFamily="34" charset="0"/>
                            <a:buChar char="•"/>
                            <a:defRPr/>
                          </a:pPr>
                          <a:r>
                            <a:rPr lang="en-US" sz="2400" dirty="0" smtClean="0"/>
                            <a:t> </a:t>
                          </a:r>
                          <a:r>
                            <a:rPr lang="en-US" sz="2400" dirty="0" err="1" smtClean="0"/>
                            <a:t>Behaviour</a:t>
                          </a:r>
                          <a:r>
                            <a:rPr lang="en-US" sz="2400" dirty="0" smtClean="0"/>
                            <a:t> standards</a:t>
                          </a:r>
                        </a:p>
                        <a:p>
                          <a:pPr marL="171450" lvl="0" indent="-171450">
                            <a:buFont typeface="Arial" pitchFamily="34" charset="0"/>
                            <a:buChar char="•"/>
                            <a:defRPr/>
                          </a:pPr>
                          <a:r>
                            <a:rPr lang="en-US" sz="2400" dirty="0" smtClean="0"/>
                            <a:t>Training </a:t>
                          </a:r>
                          <a:r>
                            <a:rPr lang="en-US" sz="2400" dirty="0" err="1" smtClean="0"/>
                            <a:t>programmes</a:t>
                          </a:r>
                          <a:r>
                            <a:rPr lang="en-US" sz="2400" dirty="0" smtClean="0"/>
                            <a:t>  </a:t>
                          </a:r>
                        </a:p>
                        <a:p>
                          <a:pPr marL="171450" lvl="0" indent="-171450">
                            <a:buFont typeface="Arial" pitchFamily="34" charset="0"/>
                            <a:buChar char="•"/>
                            <a:defRPr/>
                          </a:pPr>
                          <a:r>
                            <a:rPr lang="en-US" sz="2400" dirty="0" err="1" smtClean="0"/>
                            <a:t>Behavioural</a:t>
                          </a:r>
                          <a:r>
                            <a:rPr lang="en-US" sz="2400" dirty="0" smtClean="0"/>
                            <a:t> change interventions</a:t>
                          </a:r>
                          <a:endParaRPr lang="en-ZA" sz="2400" dirty="0" smtClean="0"/>
                        </a:p>
                        <a:p>
                          <a:pPr>
                            <a:buFont typeface="Arial" pitchFamily="34" charset="0"/>
                            <a:buChar char="•"/>
                          </a:pPr>
                          <a:r>
                            <a:rPr lang="en-US" sz="2400" dirty="0" smtClean="0"/>
                            <a:t> Measurement tools</a:t>
                          </a:r>
                          <a:endParaRPr lang="en-ZA" sz="2400" dirty="0" smtClean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D74DB8" w:rsidSect="00A41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D74DB8"/>
    <w:rsid w:val="00131196"/>
    <w:rsid w:val="00160894"/>
    <w:rsid w:val="00235269"/>
    <w:rsid w:val="003444D0"/>
    <w:rsid w:val="00564BF9"/>
    <w:rsid w:val="00651797"/>
    <w:rsid w:val="007373EB"/>
    <w:rsid w:val="007435B4"/>
    <w:rsid w:val="00880A49"/>
    <w:rsid w:val="008A74CE"/>
    <w:rsid w:val="00A41CBC"/>
    <w:rsid w:val="00A771EE"/>
    <w:rsid w:val="00AE6D43"/>
    <w:rsid w:val="00B56419"/>
    <w:rsid w:val="00C05147"/>
    <w:rsid w:val="00CE72A0"/>
    <w:rsid w:val="00D410B2"/>
    <w:rsid w:val="00D74DB8"/>
    <w:rsid w:val="00E91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1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0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6D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reedman@AngloGoldAshanti.com" TargetMode="External"/><Relationship Id="rId13" Type="http://schemas.openxmlformats.org/officeDocument/2006/relationships/hyperlink" Target="mailto:hilda.nienaber@glencore.co.za" TargetMode="External"/><Relationship Id="rId18" Type="http://schemas.openxmlformats.org/officeDocument/2006/relationships/hyperlink" Target="mailto:charl.viljoen@lonmin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ike.dekoker@goldfields.co.za" TargetMode="External"/><Relationship Id="rId7" Type="http://schemas.openxmlformats.org/officeDocument/2006/relationships/hyperlink" Target="mailto:piet.becker@angloamerican.com" TargetMode="External"/><Relationship Id="rId12" Type="http://schemas.openxmlformats.org/officeDocument/2006/relationships/hyperlink" Target="mailto:yolandi.combrink@glencore.co.za" TargetMode="External"/><Relationship Id="rId17" Type="http://schemas.openxmlformats.org/officeDocument/2006/relationships/hyperlink" Target="mailto:grant.gatzke@implats.co.z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rne.vandyk@implats.co.za" TargetMode="External"/><Relationship Id="rId20" Type="http://schemas.openxmlformats.org/officeDocument/2006/relationships/hyperlink" Target="mailto:graham.brooks@sibanyegold.co.za" TargetMode="External"/><Relationship Id="rId1" Type="http://schemas.openxmlformats.org/officeDocument/2006/relationships/styles" Target="styles.xml"/><Relationship Id="rId6" Type="http://schemas.openxmlformats.org/officeDocument/2006/relationships/hyperlink" Target="mailto:yolande.muller@angloamerican.com" TargetMode="External"/><Relationship Id="rId11" Type="http://schemas.openxmlformats.org/officeDocument/2006/relationships/hyperlink" Target="mailto:erudman@telkomsa.net" TargetMode="External"/><Relationship Id="rId5" Type="http://schemas.openxmlformats.org/officeDocument/2006/relationships/hyperlink" Target="mailto:tom.vandenberg@angloamerican.com" TargetMode="External"/><Relationship Id="rId15" Type="http://schemas.openxmlformats.org/officeDocument/2006/relationships/hyperlink" Target="mailto:carla.radloff@implats.co.z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aricon@pixie.co.za" TargetMode="External"/><Relationship Id="rId19" Type="http://schemas.openxmlformats.org/officeDocument/2006/relationships/hyperlink" Target="mailto:duncan.scott@sibanyegold.co.za" TargetMode="External"/><Relationship Id="rId4" Type="http://schemas.openxmlformats.org/officeDocument/2006/relationships/hyperlink" Target="mailto:dcronje@chamberofmines.org.za" TargetMode="External"/><Relationship Id="rId9" Type="http://schemas.openxmlformats.org/officeDocument/2006/relationships/hyperlink" Target="mailto:busi.mashiane@arm.co.za" TargetMode="External"/><Relationship Id="rId14" Type="http://schemas.openxmlformats.org/officeDocument/2006/relationships/hyperlink" Target="mailto:gawie.heroldt@harmony.co.z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dcronje</dc:creator>
  <cp:lastModifiedBy>Lmasilo</cp:lastModifiedBy>
  <cp:revision>2</cp:revision>
  <dcterms:created xsi:type="dcterms:W3CDTF">2013-12-17T10:07:00Z</dcterms:created>
  <dcterms:modified xsi:type="dcterms:W3CDTF">2013-12-17T10:07:00Z</dcterms:modified>
</cp:coreProperties>
</file>